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4048" w14:textId="2B79BE3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813E5">
        <w:rPr>
          <w:rFonts w:cs="Arial"/>
          <w:b/>
          <w:bCs/>
          <w:sz w:val="24"/>
          <w:szCs w:val="24"/>
        </w:rPr>
        <w:t>7</w:t>
      </w:r>
      <w:r>
        <w:rPr>
          <w:rFonts w:cs="Arial"/>
          <w:b/>
          <w:bCs/>
          <w:sz w:val="24"/>
          <w:szCs w:val="24"/>
        </w:rPr>
        <w:t>-e</w:t>
      </w:r>
      <w:r w:rsidR="000D5EC9" w:rsidRPr="007D3E81">
        <w:rPr>
          <w:rFonts w:cs="Arial"/>
          <w:b/>
          <w:sz w:val="24"/>
          <w:szCs w:val="24"/>
        </w:rPr>
        <w:tab/>
      </w:r>
      <w:r w:rsidR="000C39DB" w:rsidRPr="00030E8B">
        <w:rPr>
          <w:b/>
          <w:noProof/>
          <w:sz w:val="24"/>
          <w:szCs w:val="24"/>
        </w:rPr>
        <w:t>R3-2</w:t>
      </w:r>
      <w:r w:rsidR="004813E5" w:rsidRPr="00030E8B">
        <w:rPr>
          <w:b/>
          <w:noProof/>
          <w:sz w:val="24"/>
          <w:szCs w:val="24"/>
        </w:rPr>
        <w:t>2</w:t>
      </w:r>
      <w:r w:rsidR="00030E8B">
        <w:rPr>
          <w:b/>
          <w:noProof/>
          <w:sz w:val="24"/>
          <w:szCs w:val="24"/>
        </w:rPr>
        <w:t>4436</w:t>
      </w:r>
    </w:p>
    <w:p w14:paraId="7475CF16" w14:textId="7A2BAFDD"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4813E5">
        <w:rPr>
          <w:rFonts w:cs="Arial"/>
          <w:b/>
          <w:bCs/>
          <w:sz w:val="24"/>
          <w:szCs w:val="24"/>
        </w:rPr>
        <w:t>15</w:t>
      </w:r>
      <w:r w:rsidRPr="00F021D6">
        <w:rPr>
          <w:rFonts w:cs="Arial"/>
          <w:b/>
          <w:bCs/>
          <w:sz w:val="24"/>
          <w:szCs w:val="24"/>
        </w:rPr>
        <w:t>-</w:t>
      </w:r>
      <w:r w:rsidR="004813E5">
        <w:rPr>
          <w:rFonts w:cs="Arial"/>
          <w:b/>
          <w:bCs/>
          <w:sz w:val="24"/>
          <w:szCs w:val="24"/>
        </w:rPr>
        <w:t>24</w:t>
      </w:r>
      <w:r w:rsidRPr="00F021D6">
        <w:rPr>
          <w:rFonts w:cs="Arial"/>
          <w:b/>
          <w:bCs/>
          <w:sz w:val="24"/>
          <w:szCs w:val="24"/>
        </w:rPr>
        <w:t xml:space="preserve"> </w:t>
      </w:r>
      <w:r w:rsidR="004813E5">
        <w:rPr>
          <w:rFonts w:cs="Arial"/>
          <w:b/>
          <w:bCs/>
          <w:sz w:val="24"/>
          <w:szCs w:val="24"/>
        </w:rPr>
        <w:t>Aug</w:t>
      </w:r>
      <w:r w:rsidRPr="00F021D6">
        <w:rPr>
          <w:rFonts w:cs="Arial"/>
          <w:b/>
          <w:bCs/>
          <w:sz w:val="24"/>
          <w:szCs w:val="24"/>
        </w:rPr>
        <w:t xml:space="preserve"> 202</w:t>
      </w:r>
      <w:r w:rsidR="004813E5">
        <w:rPr>
          <w:rFonts w:cs="Arial"/>
          <w:b/>
          <w:bCs/>
          <w:sz w:val="24"/>
          <w:szCs w:val="24"/>
        </w:rPr>
        <w:t>2</w:t>
      </w:r>
    </w:p>
    <w:p w14:paraId="66968363" w14:textId="77777777" w:rsidR="0037119B" w:rsidRPr="007D3E81" w:rsidRDefault="0037119B" w:rsidP="0037119B">
      <w:pPr>
        <w:pStyle w:val="ad"/>
        <w:jc w:val="both"/>
        <w:rPr>
          <w:rFonts w:eastAsia="宋体"/>
          <w:b w:val="0"/>
          <w:i w:val="0"/>
          <w:noProof w:val="0"/>
          <w:sz w:val="24"/>
          <w:lang w:eastAsia="zh-CN"/>
        </w:rPr>
      </w:pPr>
    </w:p>
    <w:p w14:paraId="373B6BAB" w14:textId="2E2A593A"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A57800">
        <w:rPr>
          <w:rFonts w:ascii="Arial" w:hAnsi="Arial"/>
          <w:sz w:val="24"/>
          <w:lang w:eastAsia="zh-CN"/>
        </w:rPr>
        <w:t>CHO in NR-DC</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0BC79E19"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w:t>
      </w:r>
      <w:r w:rsidR="00A57800">
        <w:rPr>
          <w:rFonts w:ascii="Arial" w:hAnsi="Arial"/>
          <w:sz w:val="24"/>
        </w:rPr>
        <w:t>3</w:t>
      </w:r>
    </w:p>
    <w:p w14:paraId="141AB176" w14:textId="6C212568"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030E8B">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389ADF95" w:rsidR="00894F57" w:rsidRPr="00894F57" w:rsidRDefault="00894F57" w:rsidP="00082C90">
      <w:pPr>
        <w:jc w:val="both"/>
        <w:rPr>
          <w:rFonts w:eastAsiaTheme="minorEastAsia"/>
          <w:lang w:eastAsia="zh-CN"/>
        </w:rPr>
      </w:pPr>
      <w:bookmarkStart w:id="1" w:name="OLE_LINK1"/>
      <w:bookmarkStart w:id="2" w:name="OLE_LINK2"/>
      <w:r>
        <w:rPr>
          <w:rFonts w:eastAsiaTheme="minorEastAsia" w:hint="eastAsia"/>
          <w:lang w:eastAsia="zh-CN"/>
        </w:rPr>
        <w:t>A</w:t>
      </w:r>
      <w:r>
        <w:rPr>
          <w:rFonts w:eastAsiaTheme="minorEastAsia"/>
          <w:lang w:eastAsia="zh-CN"/>
        </w:rPr>
        <w:t xml:space="preserve"> new WID on further NR mobility enhancements was approved in RAN#94e</w:t>
      </w:r>
      <w:r w:rsidR="007F484E">
        <w:rPr>
          <w:rFonts w:eastAsiaTheme="minorEastAsia"/>
          <w:lang w:eastAsia="zh-CN"/>
        </w:rPr>
        <w:t xml:space="preserve"> [1]</w:t>
      </w:r>
      <w:r>
        <w:rPr>
          <w:rFonts w:eastAsiaTheme="minorEastAsia"/>
          <w:lang w:eastAsia="zh-CN"/>
        </w:rPr>
        <w:t>, and then revised in RAN#96e</w:t>
      </w:r>
      <w:r w:rsidR="007F484E">
        <w:rPr>
          <w:rFonts w:eastAsiaTheme="minorEastAsia"/>
          <w:lang w:eastAsia="zh-CN"/>
        </w:rPr>
        <w:t xml:space="preserve"> [2]</w:t>
      </w:r>
      <w:r>
        <w:rPr>
          <w:rFonts w:eastAsiaTheme="minorEastAsia"/>
          <w:lang w:eastAsia="zh-CN"/>
        </w:rPr>
        <w:t xml:space="preserve">. </w:t>
      </w:r>
    </w:p>
    <w:tbl>
      <w:tblPr>
        <w:tblStyle w:val="af7"/>
        <w:tblW w:w="0" w:type="auto"/>
        <w:tblInd w:w="846" w:type="dxa"/>
        <w:tblLook w:val="04A0" w:firstRow="1" w:lastRow="0" w:firstColumn="1" w:lastColumn="0" w:noHBand="0" w:noVBand="1"/>
      </w:tblPr>
      <w:tblGrid>
        <w:gridCol w:w="8785"/>
      </w:tblGrid>
      <w:tr w:rsidR="00E666AA" w14:paraId="6FEE17D9" w14:textId="77777777" w:rsidTr="00177395">
        <w:tc>
          <w:tcPr>
            <w:tcW w:w="8785" w:type="dxa"/>
          </w:tcPr>
          <w:p w14:paraId="0C462657" w14:textId="77777777" w:rsidR="00C95B3C" w:rsidRPr="00C95B3C" w:rsidRDefault="00C95B3C" w:rsidP="00C95B3C">
            <w:pPr>
              <w:rPr>
                <w:bCs/>
                <w:lang w:val="en-US"/>
              </w:rPr>
            </w:pPr>
            <w:r w:rsidRPr="00C95B3C">
              <w:rPr>
                <w:bCs/>
              </w:rPr>
              <w:t xml:space="preserve">The detailed objective of this work item </w:t>
            </w:r>
            <w:proofErr w:type="gramStart"/>
            <w:r w:rsidRPr="00C95B3C">
              <w:rPr>
                <w:bCs/>
              </w:rPr>
              <w:t>are</w:t>
            </w:r>
            <w:proofErr w:type="gramEnd"/>
            <w:r w:rsidRPr="00C95B3C">
              <w:rPr>
                <w:bCs/>
              </w:rPr>
              <w:t>:</w:t>
            </w:r>
          </w:p>
          <w:p w14:paraId="7A399378" w14:textId="77777777" w:rsidR="00C95B3C" w:rsidRPr="00C95B3C" w:rsidRDefault="00C95B3C" w:rsidP="00C95B3C"/>
          <w:p w14:paraId="0DDB67D2" w14:textId="77777777" w:rsidR="00C95B3C" w:rsidRPr="00C95B3C" w:rsidRDefault="00C95B3C" w:rsidP="00C95B3C">
            <w:pPr>
              <w:widowControl w:val="0"/>
              <w:numPr>
                <w:ilvl w:val="0"/>
                <w:numId w:val="27"/>
              </w:numPr>
              <w:spacing w:after="0"/>
              <w:jc w:val="both"/>
              <w:rPr>
                <w:bCs/>
              </w:rPr>
            </w:pPr>
            <w:r w:rsidRPr="00C95B3C">
              <w:rPr>
                <w:bCs/>
              </w:rPr>
              <w:t>To specify mechanism and procedures of L1/L2 based inter-cell mobility for mobility latency reduction:</w:t>
            </w:r>
          </w:p>
          <w:p w14:paraId="352A9544" w14:textId="77777777" w:rsidR="00C95B3C" w:rsidRPr="00C95B3C" w:rsidRDefault="00C95B3C" w:rsidP="00C95B3C">
            <w:pPr>
              <w:widowControl w:val="0"/>
              <w:numPr>
                <w:ilvl w:val="0"/>
                <w:numId w:val="28"/>
              </w:numPr>
              <w:spacing w:after="0"/>
              <w:jc w:val="both"/>
              <w:rPr>
                <w:bCs/>
              </w:rPr>
            </w:pPr>
            <w:r w:rsidRPr="00C95B3C">
              <w:rPr>
                <w:bCs/>
              </w:rPr>
              <w:t>Configuration and maintenance for multiple candidate cells to allow fast application of configurations for candidate cells [RAN2, RAN3]</w:t>
            </w:r>
          </w:p>
          <w:p w14:paraId="3DAD3176" w14:textId="77777777" w:rsidR="00C95B3C" w:rsidRPr="00C95B3C" w:rsidRDefault="00C95B3C" w:rsidP="00C95B3C">
            <w:pPr>
              <w:widowControl w:val="0"/>
              <w:numPr>
                <w:ilvl w:val="0"/>
                <w:numId w:val="28"/>
              </w:numPr>
              <w:spacing w:after="0"/>
              <w:jc w:val="both"/>
              <w:rPr>
                <w:bCs/>
              </w:rPr>
            </w:pPr>
            <w:r w:rsidRPr="00C95B3C">
              <w:rPr>
                <w:bCs/>
              </w:rPr>
              <w:t xml:space="preserve">Dynamic switch mechanism among candidate serving cells (including </w:t>
            </w:r>
            <w:proofErr w:type="spellStart"/>
            <w:r w:rsidRPr="00C95B3C">
              <w:rPr>
                <w:bCs/>
              </w:rPr>
              <w:t>SpCell</w:t>
            </w:r>
            <w:proofErr w:type="spellEnd"/>
            <w:r w:rsidRPr="00C95B3C">
              <w:rPr>
                <w:bCs/>
              </w:rPr>
              <w:t xml:space="preserve"> and </w:t>
            </w:r>
            <w:proofErr w:type="spellStart"/>
            <w:r w:rsidRPr="00C95B3C">
              <w:rPr>
                <w:bCs/>
              </w:rPr>
              <w:t>SCell</w:t>
            </w:r>
            <w:proofErr w:type="spellEnd"/>
            <w:r w:rsidRPr="00C95B3C">
              <w:rPr>
                <w:bCs/>
              </w:rPr>
              <w:t>) for the potential applicable scenarios based on L1/L2 signalling [RAN2, RAN1]</w:t>
            </w:r>
          </w:p>
          <w:p w14:paraId="384F5AF4" w14:textId="77777777" w:rsidR="00C95B3C" w:rsidRPr="00C95B3C" w:rsidRDefault="00C95B3C" w:rsidP="00C95B3C">
            <w:pPr>
              <w:widowControl w:val="0"/>
              <w:numPr>
                <w:ilvl w:val="0"/>
                <w:numId w:val="28"/>
              </w:numPr>
              <w:spacing w:after="0"/>
              <w:jc w:val="both"/>
              <w:rPr>
                <w:bCs/>
              </w:rPr>
            </w:pPr>
            <w:r w:rsidRPr="00C95B3C">
              <w:rPr>
                <w:bCs/>
              </w:rPr>
              <w:t>L1 enhancements for inter-cell beam management, including L1 measurement and reporting, and beam indication [RAN1, RAN2]</w:t>
            </w:r>
          </w:p>
          <w:p w14:paraId="5761095F" w14:textId="77777777" w:rsidR="00C95B3C" w:rsidRPr="00C95B3C" w:rsidRDefault="00C95B3C" w:rsidP="00C95B3C">
            <w:pPr>
              <w:widowControl w:val="0"/>
              <w:numPr>
                <w:ilvl w:val="1"/>
                <w:numId w:val="28"/>
              </w:numPr>
              <w:spacing w:after="0"/>
              <w:jc w:val="both"/>
              <w:rPr>
                <w:bCs/>
              </w:rPr>
            </w:pPr>
            <w:r w:rsidRPr="00C95B3C">
              <w:rPr>
                <w:bCs/>
              </w:rPr>
              <w:t>Note 1: Early RAN2 involvement is necessary, including the possibility of further clarifying the interaction between this bullet with the previous bullet</w:t>
            </w:r>
          </w:p>
          <w:p w14:paraId="40B16D55" w14:textId="77777777" w:rsidR="00C95B3C" w:rsidRPr="00C95B3C" w:rsidRDefault="00C95B3C" w:rsidP="00C95B3C">
            <w:pPr>
              <w:widowControl w:val="0"/>
              <w:numPr>
                <w:ilvl w:val="0"/>
                <w:numId w:val="28"/>
              </w:numPr>
              <w:spacing w:after="0"/>
              <w:jc w:val="both"/>
              <w:rPr>
                <w:bCs/>
              </w:rPr>
            </w:pPr>
            <w:r w:rsidRPr="00C95B3C">
              <w:rPr>
                <w:bCs/>
              </w:rPr>
              <w:t>Timing Advance management [RAN1, RAN2]</w:t>
            </w:r>
          </w:p>
          <w:p w14:paraId="71BC3E54" w14:textId="77777777" w:rsidR="00C95B3C" w:rsidRPr="00C95B3C" w:rsidRDefault="00C95B3C" w:rsidP="00C95B3C">
            <w:pPr>
              <w:widowControl w:val="0"/>
              <w:numPr>
                <w:ilvl w:val="0"/>
                <w:numId w:val="28"/>
              </w:numPr>
              <w:spacing w:after="0"/>
              <w:jc w:val="both"/>
              <w:rPr>
                <w:bCs/>
              </w:rPr>
            </w:pPr>
            <w:r w:rsidRPr="00C95B3C">
              <w:rPr>
                <w:bCs/>
              </w:rPr>
              <w:t xml:space="preserve">CU-DU interface </w:t>
            </w:r>
            <w:proofErr w:type="spellStart"/>
            <w:r w:rsidRPr="00C95B3C">
              <w:rPr>
                <w:bCs/>
              </w:rPr>
              <w:t>signaling</w:t>
            </w:r>
            <w:proofErr w:type="spellEnd"/>
            <w:r w:rsidRPr="00C95B3C">
              <w:rPr>
                <w:bCs/>
              </w:rPr>
              <w:t xml:space="preserve"> to support L1/L2 mobility, if needed [RAN3]</w:t>
            </w:r>
          </w:p>
          <w:p w14:paraId="5DAFFE4C" w14:textId="77777777" w:rsidR="00C95B3C" w:rsidRPr="00C95B3C" w:rsidRDefault="00C95B3C" w:rsidP="00C95B3C">
            <w:pPr>
              <w:rPr>
                <w:bCs/>
              </w:rPr>
            </w:pPr>
          </w:p>
          <w:p w14:paraId="43BB8519" w14:textId="77777777" w:rsidR="00C95B3C" w:rsidRPr="00C95B3C" w:rsidRDefault="00C95B3C" w:rsidP="00C95B3C">
            <w:pPr>
              <w:ind w:left="720"/>
              <w:rPr>
                <w:bCs/>
              </w:rPr>
            </w:pPr>
            <w:r w:rsidRPr="00C95B3C">
              <w:rPr>
                <w:bCs/>
              </w:rPr>
              <w:t>Note 2: FR2 specific enhancements are not precluded, if any.</w:t>
            </w:r>
          </w:p>
          <w:p w14:paraId="0BEDE19C" w14:textId="77777777" w:rsidR="00C95B3C" w:rsidRPr="00C95B3C" w:rsidRDefault="00C95B3C" w:rsidP="00C95B3C">
            <w:pPr>
              <w:ind w:left="720"/>
              <w:rPr>
                <w:bCs/>
              </w:rPr>
            </w:pPr>
            <w:r w:rsidRPr="00C95B3C">
              <w:rPr>
                <w:bCs/>
              </w:rPr>
              <w:t>Note 3: The procedure of L1/L2 based inter-cell mobility are applicable to the following scenarios:</w:t>
            </w:r>
          </w:p>
          <w:p w14:paraId="3FF4C2C3" w14:textId="77777777" w:rsidR="00C95B3C" w:rsidRPr="00C95B3C" w:rsidRDefault="00C95B3C" w:rsidP="00C95B3C">
            <w:pPr>
              <w:widowControl w:val="0"/>
              <w:numPr>
                <w:ilvl w:val="2"/>
                <w:numId w:val="29"/>
              </w:numPr>
              <w:spacing w:after="0"/>
              <w:ind w:left="1443"/>
              <w:jc w:val="both"/>
              <w:rPr>
                <w:bCs/>
              </w:rPr>
            </w:pPr>
            <w:r w:rsidRPr="00C95B3C">
              <w:rPr>
                <w:bCs/>
              </w:rPr>
              <w:t>Standalone, CA and NR-DC case with serving cell change within one CG</w:t>
            </w:r>
          </w:p>
          <w:p w14:paraId="2BE0894F" w14:textId="77777777" w:rsidR="00C95B3C" w:rsidRPr="00C95B3C" w:rsidRDefault="00C95B3C" w:rsidP="00C95B3C">
            <w:pPr>
              <w:widowControl w:val="0"/>
              <w:numPr>
                <w:ilvl w:val="2"/>
                <w:numId w:val="29"/>
              </w:numPr>
              <w:spacing w:after="0"/>
              <w:ind w:left="1443"/>
              <w:jc w:val="both"/>
              <w:rPr>
                <w:bCs/>
              </w:rPr>
            </w:pPr>
            <w:r w:rsidRPr="00C95B3C">
              <w:rPr>
                <w:bCs/>
              </w:rPr>
              <w:t>Intra-DU case and intra-CU inter-DU case (applicable for Standalone and CA: no new RAN interfaces are expected)</w:t>
            </w:r>
          </w:p>
          <w:p w14:paraId="600066B3" w14:textId="77777777" w:rsidR="00C95B3C" w:rsidRPr="00C95B3C" w:rsidRDefault="00C95B3C" w:rsidP="00C95B3C">
            <w:pPr>
              <w:widowControl w:val="0"/>
              <w:numPr>
                <w:ilvl w:val="2"/>
                <w:numId w:val="29"/>
              </w:numPr>
              <w:spacing w:after="0"/>
              <w:ind w:left="1443"/>
              <w:jc w:val="both"/>
              <w:rPr>
                <w:bCs/>
              </w:rPr>
            </w:pPr>
            <w:r w:rsidRPr="00C95B3C">
              <w:rPr>
                <w:bCs/>
              </w:rPr>
              <w:t>Both intra-frequency and inter-frequency</w:t>
            </w:r>
          </w:p>
          <w:p w14:paraId="0A70DA6A" w14:textId="77777777" w:rsidR="00C95B3C" w:rsidRPr="00C95B3C" w:rsidRDefault="00C95B3C" w:rsidP="00C95B3C">
            <w:pPr>
              <w:widowControl w:val="0"/>
              <w:numPr>
                <w:ilvl w:val="2"/>
                <w:numId w:val="29"/>
              </w:numPr>
              <w:spacing w:after="0"/>
              <w:ind w:left="1443"/>
              <w:jc w:val="both"/>
              <w:rPr>
                <w:bCs/>
              </w:rPr>
            </w:pPr>
            <w:r w:rsidRPr="00C95B3C">
              <w:rPr>
                <w:bCs/>
              </w:rPr>
              <w:t>Both FR1 and FR2</w:t>
            </w:r>
          </w:p>
          <w:p w14:paraId="2677D1E0" w14:textId="77777777" w:rsidR="00C95B3C" w:rsidRPr="00C95B3C" w:rsidRDefault="00C95B3C" w:rsidP="00C95B3C">
            <w:pPr>
              <w:widowControl w:val="0"/>
              <w:numPr>
                <w:ilvl w:val="2"/>
                <w:numId w:val="29"/>
              </w:numPr>
              <w:spacing w:after="0"/>
              <w:ind w:left="1443"/>
              <w:jc w:val="both"/>
              <w:rPr>
                <w:bCs/>
              </w:rPr>
            </w:pPr>
            <w:r w:rsidRPr="00C95B3C">
              <w:rPr>
                <w:bCs/>
              </w:rPr>
              <w:t>Source and target cells may be synchronized or non-synchronized</w:t>
            </w:r>
          </w:p>
          <w:p w14:paraId="5DBB4F25" w14:textId="77777777" w:rsidR="00C95B3C" w:rsidRPr="00C95B3C" w:rsidRDefault="00C95B3C" w:rsidP="00C95B3C">
            <w:pPr>
              <w:ind w:left="720"/>
              <w:rPr>
                <w:bCs/>
              </w:rPr>
            </w:pPr>
          </w:p>
          <w:p w14:paraId="75D8374C" w14:textId="77777777" w:rsidR="00C95B3C" w:rsidRPr="00C95B3C" w:rsidRDefault="00C95B3C" w:rsidP="00C95B3C">
            <w:pPr>
              <w:widowControl w:val="0"/>
              <w:numPr>
                <w:ilvl w:val="0"/>
                <w:numId w:val="27"/>
              </w:numPr>
              <w:spacing w:after="0"/>
              <w:jc w:val="both"/>
              <w:rPr>
                <w:bCs/>
              </w:rPr>
            </w:pPr>
            <w:r w:rsidRPr="00C95B3C">
              <w:rPr>
                <w:bCs/>
              </w:rPr>
              <w:t>To specify mechanism and procedures of NR-DC with selective activation of the cell groups (at least for SCG) via L3 enhancements:</w:t>
            </w:r>
          </w:p>
          <w:p w14:paraId="02CE5E4B" w14:textId="77777777" w:rsidR="00C95B3C" w:rsidRPr="00C95B3C" w:rsidRDefault="00C95B3C" w:rsidP="00C95B3C">
            <w:pPr>
              <w:widowControl w:val="0"/>
              <w:numPr>
                <w:ilvl w:val="0"/>
                <w:numId w:val="28"/>
              </w:numPr>
              <w:spacing w:after="0"/>
              <w:jc w:val="both"/>
              <w:rPr>
                <w:bCs/>
              </w:rPr>
            </w:pPr>
            <w:r w:rsidRPr="00C95B3C">
              <w:rPr>
                <w:bCs/>
              </w:rPr>
              <w:t xml:space="preserve">To allow subsequent cell group </w:t>
            </w:r>
            <w:proofErr w:type="gramStart"/>
            <w:r w:rsidRPr="00C95B3C">
              <w:rPr>
                <w:bCs/>
              </w:rPr>
              <w:t>change</w:t>
            </w:r>
            <w:proofErr w:type="gramEnd"/>
            <w:r w:rsidRPr="00C95B3C">
              <w:rPr>
                <w:bCs/>
              </w:rPr>
              <w:t xml:space="preserve"> after changing CG without reconfiguration and re-initiation of CPC/CPA [RAN2, RAN3, RAN4]</w:t>
            </w:r>
          </w:p>
          <w:p w14:paraId="42040424" w14:textId="77777777" w:rsidR="00C95B3C" w:rsidRPr="00C95B3C" w:rsidRDefault="00C95B3C" w:rsidP="00C95B3C">
            <w:pPr>
              <w:ind w:left="720"/>
              <w:rPr>
                <w:bCs/>
              </w:rPr>
            </w:pPr>
            <w:r w:rsidRPr="00C95B3C">
              <w:rPr>
                <w:bCs/>
              </w:rPr>
              <w:t>Note 4: A harmonized</w:t>
            </w:r>
            <w:r w:rsidRPr="00C95B3C">
              <w:rPr>
                <w:rStyle w:val="aff0"/>
                <w:i w:val="0"/>
              </w:rPr>
              <w:t xml:space="preserve"> RRC modelling approach for objectives 1 and 2 could be considered to minimize the workload in RAN2.</w:t>
            </w:r>
          </w:p>
          <w:p w14:paraId="2F1FA8F5" w14:textId="77777777" w:rsidR="00C95B3C" w:rsidRPr="00C95B3C" w:rsidRDefault="00C95B3C" w:rsidP="00C95B3C">
            <w:pPr>
              <w:rPr>
                <w:bCs/>
              </w:rPr>
            </w:pPr>
          </w:p>
          <w:p w14:paraId="6CA17B3E" w14:textId="77777777" w:rsidR="00C95B3C" w:rsidRPr="00C95B3C" w:rsidRDefault="00C95B3C" w:rsidP="00C95B3C">
            <w:pPr>
              <w:widowControl w:val="0"/>
              <w:numPr>
                <w:ilvl w:val="0"/>
                <w:numId w:val="27"/>
              </w:numPr>
              <w:spacing w:after="0"/>
              <w:jc w:val="both"/>
              <w:rPr>
                <w:bCs/>
              </w:rPr>
            </w:pPr>
            <w:r w:rsidRPr="00C95B3C">
              <w:rPr>
                <w:bCs/>
              </w:rPr>
              <w:t xml:space="preserve">To specify CHO including target MCG and target SCG [RAN3, RAN2]. </w:t>
            </w:r>
          </w:p>
          <w:p w14:paraId="0A01FB3A" w14:textId="77777777" w:rsidR="00C95B3C" w:rsidRPr="00C95B3C" w:rsidRDefault="00C95B3C" w:rsidP="00C95B3C">
            <w:pPr>
              <w:ind w:firstLine="720"/>
              <w:rPr>
                <w:bCs/>
              </w:rPr>
            </w:pPr>
            <w:r w:rsidRPr="00C95B3C">
              <w:rPr>
                <w:bCs/>
              </w:rPr>
              <w:t>Note 5: This is already being targeted for Rel-17, so this objective will be reviewed at RAN#97-e.</w:t>
            </w:r>
          </w:p>
          <w:p w14:paraId="090FA3BC" w14:textId="77777777" w:rsidR="00C95B3C" w:rsidRPr="00C95B3C" w:rsidRDefault="00C95B3C" w:rsidP="00C95B3C">
            <w:pPr>
              <w:rPr>
                <w:bCs/>
              </w:rPr>
            </w:pPr>
          </w:p>
          <w:p w14:paraId="38091799" w14:textId="77777777" w:rsidR="00C95B3C" w:rsidRPr="00C95B3C" w:rsidRDefault="00C95B3C" w:rsidP="00C95B3C">
            <w:pPr>
              <w:widowControl w:val="0"/>
              <w:numPr>
                <w:ilvl w:val="0"/>
                <w:numId w:val="27"/>
              </w:numPr>
              <w:spacing w:after="0"/>
              <w:jc w:val="both"/>
              <w:rPr>
                <w:bCs/>
              </w:rPr>
            </w:pPr>
            <w:r w:rsidRPr="00C95B3C">
              <w:rPr>
                <w:bCs/>
              </w:rPr>
              <w:t xml:space="preserve">To specify CHO including target MCG and candidate SCGs for CPC/CPA in NR-DC [RAN3, </w:t>
            </w:r>
            <w:r w:rsidRPr="00C95B3C">
              <w:rPr>
                <w:bCs/>
              </w:rPr>
              <w:lastRenderedPageBreak/>
              <w:t>RAN2]</w:t>
            </w:r>
          </w:p>
          <w:p w14:paraId="4FDB1A2E" w14:textId="77777777" w:rsidR="00C95B3C" w:rsidRPr="00C95B3C" w:rsidRDefault="00C95B3C" w:rsidP="00C95B3C">
            <w:pPr>
              <w:widowControl w:val="0"/>
              <w:numPr>
                <w:ilvl w:val="0"/>
                <w:numId w:val="28"/>
              </w:numPr>
              <w:spacing w:after="0"/>
              <w:jc w:val="both"/>
              <w:rPr>
                <w:bCs/>
              </w:rPr>
            </w:pPr>
            <w:r w:rsidRPr="00C95B3C">
              <w:rPr>
                <w:bCs/>
              </w:rPr>
              <w:t>CHO including target MCG and target SCG is used as the baseline</w:t>
            </w:r>
          </w:p>
          <w:p w14:paraId="23882922" w14:textId="77777777" w:rsidR="00C95B3C" w:rsidRPr="00C95B3C" w:rsidRDefault="00C95B3C" w:rsidP="00C95B3C">
            <w:pPr>
              <w:ind w:left="1500"/>
              <w:rPr>
                <w:bCs/>
              </w:rPr>
            </w:pPr>
          </w:p>
          <w:p w14:paraId="399ECFB3" w14:textId="77777777" w:rsidR="00C95B3C" w:rsidRPr="00C95B3C" w:rsidRDefault="00C95B3C" w:rsidP="00C95B3C">
            <w:pPr>
              <w:widowControl w:val="0"/>
              <w:numPr>
                <w:ilvl w:val="0"/>
                <w:numId w:val="27"/>
              </w:numPr>
              <w:spacing w:after="0"/>
              <w:jc w:val="both"/>
              <w:rPr>
                <w:bCs/>
              </w:rPr>
            </w:pPr>
            <w:r w:rsidRPr="00C95B3C">
              <w:rPr>
                <w:bCs/>
              </w:rPr>
              <w:t>To specify RRM core requirements for the following, as necessary [RAN4]:</w:t>
            </w:r>
          </w:p>
          <w:p w14:paraId="1C92D168" w14:textId="77777777" w:rsidR="00C95B3C" w:rsidRPr="00C95B3C" w:rsidRDefault="00C95B3C" w:rsidP="00C95B3C">
            <w:pPr>
              <w:widowControl w:val="0"/>
              <w:numPr>
                <w:ilvl w:val="0"/>
                <w:numId w:val="30"/>
              </w:numPr>
              <w:spacing w:after="0"/>
              <w:ind w:left="1140" w:hanging="420"/>
              <w:jc w:val="both"/>
              <w:rPr>
                <w:bCs/>
              </w:rPr>
            </w:pPr>
            <w:r w:rsidRPr="00C95B3C">
              <w:rPr>
                <w:bCs/>
              </w:rPr>
              <w:t>L1/L2-based inter-cell mobility</w:t>
            </w:r>
          </w:p>
          <w:p w14:paraId="47785248" w14:textId="77777777" w:rsidR="00C95B3C" w:rsidRPr="00C95B3C" w:rsidRDefault="00C95B3C" w:rsidP="00C95B3C">
            <w:pPr>
              <w:widowControl w:val="0"/>
              <w:numPr>
                <w:ilvl w:val="0"/>
                <w:numId w:val="30"/>
              </w:numPr>
              <w:spacing w:after="0"/>
              <w:ind w:left="1140" w:hanging="420"/>
              <w:jc w:val="both"/>
              <w:rPr>
                <w:bCs/>
              </w:rPr>
            </w:pPr>
            <w:r w:rsidRPr="00C95B3C">
              <w:rPr>
                <w:bCs/>
              </w:rPr>
              <w:t>Enhanced CHO configurations addressed by this WI</w:t>
            </w:r>
          </w:p>
          <w:p w14:paraId="6DF96347" w14:textId="77777777" w:rsidR="00C95B3C" w:rsidRPr="00C95B3C" w:rsidRDefault="00C95B3C" w:rsidP="00C95B3C">
            <w:pPr>
              <w:ind w:left="720"/>
              <w:rPr>
                <w:bCs/>
              </w:rPr>
            </w:pPr>
          </w:p>
          <w:p w14:paraId="136293CE" w14:textId="77777777" w:rsidR="00C95B3C" w:rsidRPr="00C95B3C" w:rsidRDefault="00C95B3C" w:rsidP="00C95B3C">
            <w:pPr>
              <w:widowControl w:val="0"/>
              <w:numPr>
                <w:ilvl w:val="0"/>
                <w:numId w:val="27"/>
              </w:numPr>
              <w:spacing w:after="0"/>
              <w:jc w:val="both"/>
              <w:rPr>
                <w:bCs/>
              </w:rPr>
            </w:pPr>
            <w:r w:rsidRPr="00C95B3C">
              <w:rPr>
                <w:bCs/>
              </w:rPr>
              <w:t>To specify RF requirements to cover inter-frequency L1/L2-based mobility, as necessary [RAN4].</w:t>
            </w:r>
          </w:p>
          <w:p w14:paraId="47CD06CC" w14:textId="77777777" w:rsidR="00C95B3C" w:rsidRPr="00C95B3C" w:rsidRDefault="00C95B3C" w:rsidP="00C95B3C">
            <w:pPr>
              <w:ind w:left="720"/>
              <w:rPr>
                <w:bCs/>
              </w:rPr>
            </w:pPr>
          </w:p>
          <w:p w14:paraId="1F8AAC75" w14:textId="77777777" w:rsidR="00C95B3C" w:rsidRPr="00C95B3C" w:rsidRDefault="00C95B3C" w:rsidP="00C95B3C">
            <w:pPr>
              <w:pStyle w:val="aff1"/>
              <w:numPr>
                <w:ilvl w:val="0"/>
                <w:numId w:val="27"/>
              </w:numPr>
              <w:spacing w:before="0" w:beforeAutospacing="0" w:after="0" w:afterAutospacing="0"/>
              <w:rPr>
                <w:rStyle w:val="aff0"/>
                <w:rFonts w:ascii="Times New Roman" w:hAnsi="Times New Roman" w:cs="Times New Roman"/>
                <w:i w:val="0"/>
                <w:sz w:val="20"/>
                <w:szCs w:val="20"/>
              </w:rPr>
            </w:pPr>
            <w:r w:rsidRPr="00C95B3C">
              <w:rPr>
                <w:rStyle w:val="aff0"/>
                <w:rFonts w:ascii="Times New Roman" w:hAnsi="Times New Roman" w:cs="Times New Roman"/>
                <w:i w:val="0"/>
                <w:sz w:val="20"/>
                <w:szCs w:val="20"/>
              </w:rPr>
              <w:t>To study the following, with completion targeted by RAN#98 meeting [RAN4]:</w:t>
            </w:r>
          </w:p>
          <w:p w14:paraId="2606D102" w14:textId="77777777" w:rsidR="00C95B3C" w:rsidRPr="00C95B3C" w:rsidRDefault="00C95B3C" w:rsidP="00C95B3C">
            <w:pPr>
              <w:pStyle w:val="aff1"/>
              <w:numPr>
                <w:ilvl w:val="0"/>
                <w:numId w:val="31"/>
              </w:numPr>
              <w:spacing w:before="0" w:beforeAutospacing="0" w:after="0" w:afterAutospacing="0"/>
              <w:ind w:left="1140" w:hanging="420"/>
              <w:rPr>
                <w:rStyle w:val="aff0"/>
                <w:rFonts w:ascii="Times New Roman" w:hAnsi="Times New Roman" w:cs="Times New Roman"/>
                <w:i w:val="0"/>
                <w:sz w:val="20"/>
                <w:szCs w:val="20"/>
              </w:rPr>
            </w:pPr>
            <w:r w:rsidRPr="00C95B3C">
              <w:rPr>
                <w:rFonts w:ascii="Times New Roman" w:hAnsi="Times New Roman" w:cs="Times New Roman"/>
                <w:sz w:val="20"/>
                <w:szCs w:val="20"/>
              </w:rPr>
              <w:t xml:space="preserve">The </w:t>
            </w:r>
            <w:r w:rsidRPr="00C95B3C">
              <w:rPr>
                <w:rStyle w:val="aff0"/>
                <w:rFonts w:ascii="Times New Roman" w:hAnsi="Times New Roman" w:cs="Times New Roman"/>
                <w:i w:val="0"/>
                <w:sz w:val="20"/>
                <w:szCs w:val="20"/>
              </w:rPr>
              <w:t xml:space="preserve">impact of FR2 RRM mobility measurement acquisition and reporting on FR2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 xml:space="preserve">/SCG setup/resume delay for a UE connecting from idle/inactive mode. </w:t>
            </w:r>
          </w:p>
          <w:p w14:paraId="6E8CFEA8" w14:textId="77777777" w:rsidR="00C95B3C" w:rsidRPr="00C95B3C" w:rsidRDefault="00C95B3C" w:rsidP="00C95B3C">
            <w:pPr>
              <w:pStyle w:val="aff1"/>
              <w:numPr>
                <w:ilvl w:val="0"/>
                <w:numId w:val="31"/>
              </w:numPr>
              <w:spacing w:before="0" w:beforeAutospacing="0" w:after="0" w:afterAutospacing="0"/>
              <w:ind w:left="1140" w:hanging="420"/>
              <w:rPr>
                <w:rStyle w:val="aff0"/>
                <w:rFonts w:ascii="Times New Roman" w:hAnsi="Times New Roman" w:cs="Times New Roman"/>
                <w:i w:val="0"/>
                <w:sz w:val="20"/>
                <w:szCs w:val="20"/>
              </w:rPr>
            </w:pPr>
            <w:r w:rsidRPr="00C95B3C">
              <w:rPr>
                <w:rStyle w:val="aff0"/>
                <w:rFonts w:ascii="Times New Roman" w:hAnsi="Times New Roman" w:cs="Times New Roman"/>
                <w:i w:val="0"/>
                <w:sz w:val="20"/>
                <w:szCs w:val="20"/>
              </w:rPr>
              <w:t xml:space="preserve">The level of feasible improvement in FR2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3212776E" w14:textId="77777777" w:rsidR="00C95B3C" w:rsidRPr="00C95B3C" w:rsidRDefault="00C95B3C" w:rsidP="00C95B3C">
            <w:pPr>
              <w:pStyle w:val="aff1"/>
              <w:numPr>
                <w:ilvl w:val="2"/>
                <w:numId w:val="27"/>
              </w:numPr>
              <w:spacing w:before="0" w:beforeAutospacing="0" w:after="0" w:afterAutospacing="0"/>
              <w:rPr>
                <w:rFonts w:ascii="Times New Roman" w:hAnsi="Times New Roman" w:cs="Times New Roman"/>
              </w:rPr>
            </w:pPr>
            <w:r w:rsidRPr="00C95B3C">
              <w:rPr>
                <w:rStyle w:val="aff0"/>
                <w:rFonts w:ascii="Times New Roman" w:hAnsi="Times New Roman" w:cs="Times New Roman"/>
                <w:i w:val="0"/>
                <w:sz w:val="20"/>
                <w:szCs w:val="20"/>
              </w:rPr>
              <w:t>The UE initiates and performs improved measurements when it requests RRC connection setup/resume.</w:t>
            </w:r>
          </w:p>
          <w:p w14:paraId="0A925CBC" w14:textId="253209DC" w:rsidR="00C95B3C" w:rsidRPr="00C95B3C" w:rsidRDefault="00C95B3C" w:rsidP="006567F6">
            <w:pPr>
              <w:pStyle w:val="aff1"/>
              <w:numPr>
                <w:ilvl w:val="2"/>
                <w:numId w:val="27"/>
              </w:numPr>
              <w:spacing w:before="0" w:beforeAutospacing="0" w:after="0" w:afterAutospacing="0"/>
              <w:rPr>
                <w:rFonts w:ascii="Times New Roman" w:hAnsi="Times New Roman" w:cs="Times New Roman"/>
                <w:bCs/>
                <w:sz w:val="21"/>
                <w:szCs w:val="22"/>
              </w:rPr>
            </w:pPr>
            <w:r w:rsidRPr="00C95B3C">
              <w:rPr>
                <w:rStyle w:val="aff0"/>
                <w:rFonts w:ascii="Times New Roman" w:hAnsi="Times New Roman" w:cs="Times New Roman"/>
                <w:i w:val="0"/>
                <w:sz w:val="20"/>
                <w:szCs w:val="20"/>
              </w:rPr>
              <w:t xml:space="preserve">After acquiring those improved measurements, the UE subsequently reports those measurements to the network to support </w:t>
            </w:r>
            <w:proofErr w:type="spellStart"/>
            <w:r w:rsidRPr="00C95B3C">
              <w:rPr>
                <w:rStyle w:val="aff0"/>
                <w:rFonts w:ascii="Times New Roman" w:hAnsi="Times New Roman" w:cs="Times New Roman"/>
                <w:i w:val="0"/>
                <w:sz w:val="20"/>
                <w:szCs w:val="20"/>
              </w:rPr>
              <w:t>SCell</w:t>
            </w:r>
            <w:proofErr w:type="spellEnd"/>
            <w:r w:rsidRPr="00C95B3C">
              <w:rPr>
                <w:rStyle w:val="aff0"/>
                <w:rFonts w:ascii="Times New Roman" w:hAnsi="Times New Roman" w:cs="Times New Roman"/>
                <w:i w:val="0"/>
                <w:sz w:val="20"/>
                <w:szCs w:val="20"/>
              </w:rPr>
              <w:t>/SCG setup.</w:t>
            </w:r>
          </w:p>
          <w:p w14:paraId="5FF5B358" w14:textId="16B3D6DA" w:rsidR="00E666AA" w:rsidRPr="00C95B3C" w:rsidRDefault="00E666AA" w:rsidP="00E666AA">
            <w:pPr>
              <w:tabs>
                <w:tab w:val="center" w:pos="4153"/>
                <w:tab w:val="right" w:pos="8306"/>
              </w:tabs>
              <w:spacing w:after="120"/>
              <w:jc w:val="both"/>
              <w:rPr>
                <w:lang w:eastAsia="zh-CN"/>
              </w:rPr>
            </w:pP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394FAF32"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discuss the </w:t>
      </w:r>
      <w:r w:rsidR="00180798">
        <w:t>CHO in NR-DC</w:t>
      </w:r>
      <w:r w:rsidR="006C50D9">
        <w:t xml:space="preserve">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E58F9D7" w14:textId="1077FAF9" w:rsidR="00B97D1E" w:rsidRDefault="00B97D1E" w:rsidP="009A08E3">
      <w:pPr>
        <w:rPr>
          <w:rFonts w:eastAsia="宋体"/>
          <w:lang w:eastAsia="zh-CN"/>
        </w:rPr>
      </w:pPr>
      <w:r>
        <w:rPr>
          <w:rFonts w:eastAsia="宋体"/>
          <w:lang w:eastAsia="zh-CN"/>
        </w:rPr>
        <w:t>According to the objectives listed above, the CHO in NR-DC includes two objectives:</w:t>
      </w:r>
    </w:p>
    <w:p w14:paraId="65E3D2B5" w14:textId="1A9EB208" w:rsidR="00B97D1E" w:rsidRDefault="00B97D1E" w:rsidP="00B97D1E">
      <w:pPr>
        <w:pStyle w:val="afe"/>
        <w:numPr>
          <w:ilvl w:val="0"/>
          <w:numId w:val="33"/>
        </w:numPr>
        <w:ind w:firstLineChars="0"/>
        <w:rPr>
          <w:rFonts w:eastAsia="宋体"/>
          <w:lang w:eastAsia="zh-CN"/>
        </w:rPr>
      </w:pPr>
      <w:r>
        <w:rPr>
          <w:rFonts w:eastAsia="宋体"/>
          <w:lang w:eastAsia="zh-CN"/>
        </w:rPr>
        <w:t>To specify CHO including target MCG and target S</w:t>
      </w:r>
      <w:r w:rsidR="00ED2AD4">
        <w:rPr>
          <w:rFonts w:eastAsia="宋体"/>
          <w:lang w:eastAsia="zh-CN"/>
        </w:rPr>
        <w:t>C</w:t>
      </w:r>
      <w:r>
        <w:rPr>
          <w:rFonts w:eastAsia="宋体"/>
          <w:lang w:eastAsia="zh-CN"/>
        </w:rPr>
        <w:t>G.</w:t>
      </w:r>
    </w:p>
    <w:p w14:paraId="17A0B707" w14:textId="69E03065" w:rsidR="00B97D1E" w:rsidRDefault="00B97D1E" w:rsidP="00B97D1E">
      <w:pPr>
        <w:pStyle w:val="afe"/>
        <w:numPr>
          <w:ilvl w:val="0"/>
          <w:numId w:val="33"/>
        </w:numPr>
        <w:ind w:firstLineChars="0"/>
        <w:rPr>
          <w:rFonts w:eastAsia="宋体"/>
          <w:lang w:eastAsia="zh-CN"/>
        </w:rPr>
      </w:pPr>
      <w:r>
        <w:rPr>
          <w:rFonts w:eastAsia="宋体"/>
          <w:lang w:eastAsia="zh-CN"/>
        </w:rPr>
        <w:t>To specify CHO including target MCG and candidate SCGs for CPC/CPA in NR-DC.</w:t>
      </w:r>
    </w:p>
    <w:p w14:paraId="27760731" w14:textId="2733480A" w:rsidR="00B97D1E" w:rsidRDefault="00BE61B5" w:rsidP="009A08E3">
      <w:pPr>
        <w:rPr>
          <w:rFonts w:eastAsia="宋体"/>
          <w:lang w:eastAsia="zh-CN"/>
        </w:rPr>
      </w:pPr>
      <w:r>
        <w:rPr>
          <w:rFonts w:eastAsia="宋体"/>
          <w:lang w:eastAsia="zh-CN"/>
        </w:rPr>
        <w:t xml:space="preserve">For the first objective, </w:t>
      </w:r>
      <w:r w:rsidR="00ED2AD4">
        <w:rPr>
          <w:rFonts w:eastAsia="宋体" w:hint="eastAsia"/>
          <w:lang w:eastAsia="zh-CN"/>
        </w:rPr>
        <w:t>R</w:t>
      </w:r>
      <w:r w:rsidR="00ED2AD4">
        <w:rPr>
          <w:rFonts w:eastAsia="宋体"/>
          <w:lang w:eastAsia="zh-CN"/>
        </w:rPr>
        <w:t xml:space="preserve">AN3 specified CHO including target MCG and target SCG in Rel-17, where two </w:t>
      </w:r>
      <w:r w:rsidR="00ED2AD4" w:rsidRPr="00ED2AD4">
        <w:rPr>
          <w:rFonts w:eastAsia="宋体"/>
          <w:lang w:eastAsia="zh-CN"/>
        </w:rPr>
        <w:t>container IEs are added in the Addition and Modification procedures respectively, which indicate the Addition or Modification related to a conditional mobility supporting CHO including target MCG and target SCG.</w:t>
      </w:r>
    </w:p>
    <w:p w14:paraId="4683E92D" w14:textId="2EC490F9" w:rsidR="00B97D1E" w:rsidRDefault="006530AA" w:rsidP="009A08E3">
      <w:pPr>
        <w:rPr>
          <w:rFonts w:eastAsia="宋体"/>
          <w:lang w:eastAsia="zh-CN"/>
        </w:rPr>
      </w:pPr>
      <w:r>
        <w:rPr>
          <w:rFonts w:eastAsia="宋体"/>
          <w:lang w:eastAsia="zh-CN"/>
        </w:rPr>
        <w:t xml:space="preserve">According to the current specifications, the UE initiates RACH towards the target </w:t>
      </w:r>
      <w:proofErr w:type="spellStart"/>
      <w:r>
        <w:rPr>
          <w:rFonts w:eastAsia="宋体"/>
          <w:lang w:eastAsia="zh-CN"/>
        </w:rPr>
        <w:t>PSCell</w:t>
      </w:r>
      <w:proofErr w:type="spellEnd"/>
      <w:r>
        <w:rPr>
          <w:rFonts w:eastAsia="宋体"/>
          <w:lang w:eastAsia="zh-CN"/>
        </w:rPr>
        <w:t xml:space="preserve"> after SCG is added. If the </w:t>
      </w:r>
      <w:proofErr w:type="spellStart"/>
      <w:r>
        <w:rPr>
          <w:rFonts w:eastAsia="宋体"/>
          <w:lang w:eastAsia="zh-CN"/>
        </w:rPr>
        <w:t>PSCell</w:t>
      </w:r>
      <w:proofErr w:type="spellEnd"/>
      <w:r>
        <w:rPr>
          <w:rFonts w:eastAsia="宋体"/>
          <w:lang w:eastAsia="zh-CN"/>
        </w:rPr>
        <w:t xml:space="preserve"> is not available after SCG is added, the UE initiates the SCG failure report procedure, and the MN may reconfigure another </w:t>
      </w:r>
      <w:proofErr w:type="spellStart"/>
      <w:r>
        <w:rPr>
          <w:rFonts w:eastAsia="宋体"/>
          <w:lang w:eastAsia="zh-CN"/>
        </w:rPr>
        <w:t>PSCell</w:t>
      </w:r>
      <w:proofErr w:type="spellEnd"/>
      <w:r>
        <w:rPr>
          <w:rFonts w:eastAsia="宋体"/>
          <w:lang w:eastAsia="zh-CN"/>
        </w:rPr>
        <w:t xml:space="preserve"> or release this SCG. However, there are two failure cases:</w:t>
      </w:r>
    </w:p>
    <w:p w14:paraId="3676DFF4" w14:textId="02B4B03C" w:rsidR="006530AA" w:rsidRDefault="00A906BF" w:rsidP="00FC1718">
      <w:pPr>
        <w:pStyle w:val="afe"/>
        <w:numPr>
          <w:ilvl w:val="0"/>
          <w:numId w:val="33"/>
        </w:numPr>
        <w:ind w:firstLineChars="0"/>
        <w:rPr>
          <w:rFonts w:eastAsia="宋体"/>
          <w:lang w:eastAsia="zh-CN"/>
        </w:rPr>
      </w:pPr>
      <w:r w:rsidRPr="00E02EBA">
        <w:rPr>
          <w:rFonts w:eastAsia="宋体"/>
          <w:b/>
          <w:bCs/>
          <w:lang w:eastAsia="zh-CN"/>
        </w:rPr>
        <w:t>Failure case 1</w:t>
      </w:r>
      <w:r w:rsidRPr="00E02EBA">
        <w:rPr>
          <w:rFonts w:eastAsia="宋体"/>
          <w:lang w:eastAsia="zh-CN"/>
        </w:rPr>
        <w:t xml:space="preserve">: </w:t>
      </w:r>
      <w:r w:rsidR="00C118C4" w:rsidRPr="00E02EBA">
        <w:rPr>
          <w:rFonts w:eastAsia="宋体"/>
          <w:lang w:eastAsia="zh-CN"/>
        </w:rPr>
        <w:t xml:space="preserve">In case of CHO with same SCG as source SCG, CHO condition for </w:t>
      </w:r>
      <w:proofErr w:type="spellStart"/>
      <w:r w:rsidR="00C118C4" w:rsidRPr="00E02EBA">
        <w:rPr>
          <w:rFonts w:eastAsia="宋体"/>
          <w:lang w:eastAsia="zh-CN"/>
        </w:rPr>
        <w:t>PCell</w:t>
      </w:r>
      <w:proofErr w:type="spellEnd"/>
      <w:r w:rsidR="00C118C4" w:rsidRPr="00E02EBA">
        <w:rPr>
          <w:rFonts w:eastAsia="宋体"/>
          <w:lang w:eastAsia="zh-CN"/>
        </w:rPr>
        <w:t xml:space="preserve"> is met while UE suspends SCG link due to e</w:t>
      </w:r>
      <w:r w:rsidR="0096589D" w:rsidRPr="00E02EBA">
        <w:rPr>
          <w:rFonts w:eastAsia="宋体"/>
          <w:lang w:eastAsia="zh-CN"/>
        </w:rPr>
        <w:t>.</w:t>
      </w:r>
      <w:r w:rsidR="00C118C4" w:rsidRPr="00E02EBA">
        <w:rPr>
          <w:rFonts w:eastAsia="宋体"/>
          <w:lang w:eastAsia="zh-CN"/>
        </w:rPr>
        <w:t>g</w:t>
      </w:r>
      <w:r w:rsidR="0096589D" w:rsidRPr="00E02EBA">
        <w:rPr>
          <w:rFonts w:eastAsia="宋体"/>
          <w:lang w:eastAsia="zh-CN"/>
        </w:rPr>
        <w:t>.,</w:t>
      </w:r>
      <w:r w:rsidR="00C118C4" w:rsidRPr="00E02EBA">
        <w:rPr>
          <w:rFonts w:eastAsia="宋体"/>
          <w:lang w:eastAsia="zh-CN"/>
        </w:rPr>
        <w:t xml:space="preserve"> RLF on SCG. How to handle MCG and SCG included in CHO when the CHO execution is met while UE still suspends SCG link?</w:t>
      </w:r>
      <w:r w:rsidR="0011185C">
        <w:rPr>
          <w:rFonts w:eastAsia="宋体"/>
          <w:lang w:eastAsia="zh-CN"/>
        </w:rPr>
        <w:t xml:space="preserve"> In legacy, UE performs random access towards SCG regardless of whether RLF on SCG happens or not. UE declares RLF on SCG </w:t>
      </w:r>
      <w:r w:rsidR="0072745E">
        <w:rPr>
          <w:rFonts w:eastAsia="宋体"/>
          <w:lang w:eastAsia="zh-CN"/>
        </w:rPr>
        <w:t>and transmits SCG failure information message to target MCG. It seems unnecessary to perform random access towards failed SCG.</w:t>
      </w:r>
    </w:p>
    <w:p w14:paraId="5536C2F9" w14:textId="5A5209D1" w:rsidR="00C24A66" w:rsidRDefault="00EE5AF5" w:rsidP="00EB59AD">
      <w:pPr>
        <w:rPr>
          <w:rFonts w:eastAsia="宋体"/>
          <w:lang w:eastAsia="zh-CN"/>
        </w:rPr>
      </w:pPr>
      <w:r>
        <w:rPr>
          <w:rFonts w:eastAsia="宋体"/>
          <w:lang w:eastAsia="zh-CN"/>
        </w:rPr>
        <w:t>The potential enhancement is that UE does not perform random access towards failed SCG</w:t>
      </w:r>
      <w:r w:rsidR="007E1C6D">
        <w:rPr>
          <w:rFonts w:eastAsia="宋体"/>
          <w:lang w:eastAsia="zh-CN"/>
        </w:rPr>
        <w:t xml:space="preserve">. For example, </w:t>
      </w:r>
      <w:r w:rsidR="00DD107B">
        <w:rPr>
          <w:rFonts w:eastAsia="宋体"/>
          <w:lang w:eastAsia="zh-CN"/>
        </w:rPr>
        <w:t xml:space="preserve">UE continues to perform CHO towards MCG, but UE </w:t>
      </w:r>
      <w:r w:rsidR="005B483E">
        <w:rPr>
          <w:rFonts w:eastAsia="宋体"/>
          <w:lang w:eastAsia="zh-CN"/>
        </w:rPr>
        <w:t>does</w:t>
      </w:r>
      <w:r w:rsidR="00DD107B">
        <w:rPr>
          <w:rFonts w:eastAsia="宋体"/>
          <w:lang w:eastAsia="zh-CN"/>
        </w:rPr>
        <w:t xml:space="preserve"> not perform random access to </w:t>
      </w:r>
      <w:proofErr w:type="spellStart"/>
      <w:r w:rsidR="00DD107B">
        <w:rPr>
          <w:rFonts w:eastAsia="宋体"/>
          <w:lang w:eastAsia="zh-CN"/>
        </w:rPr>
        <w:t>PSCell</w:t>
      </w:r>
      <w:proofErr w:type="spellEnd"/>
      <w:r w:rsidR="00DD107B">
        <w:rPr>
          <w:rFonts w:eastAsia="宋体"/>
          <w:lang w:eastAsia="zh-CN"/>
        </w:rPr>
        <w:t xml:space="preserve">. After UE successfully accesses </w:t>
      </w:r>
      <w:proofErr w:type="spellStart"/>
      <w:r w:rsidR="00DD107B">
        <w:rPr>
          <w:rFonts w:eastAsia="宋体"/>
          <w:lang w:eastAsia="zh-CN"/>
        </w:rPr>
        <w:t>PCell</w:t>
      </w:r>
      <w:proofErr w:type="spellEnd"/>
      <w:r w:rsidR="00DD107B">
        <w:rPr>
          <w:rFonts w:eastAsia="宋体"/>
          <w:lang w:eastAsia="zh-CN"/>
        </w:rPr>
        <w:t>, UE transmits RRC reconfiguration complete message including the information associated with SCG failure to target MN. The information could be as follows: SCG failure before performing CHO.</w:t>
      </w:r>
    </w:p>
    <w:p w14:paraId="3A15E416" w14:textId="5AD9E96E" w:rsidR="00520D3D" w:rsidRDefault="00520D3D" w:rsidP="00E02EBA">
      <w:pPr>
        <w:pStyle w:val="afe"/>
        <w:numPr>
          <w:ilvl w:val="0"/>
          <w:numId w:val="33"/>
        </w:numPr>
        <w:ind w:firstLineChars="0"/>
        <w:rPr>
          <w:rFonts w:eastAsia="宋体"/>
          <w:lang w:eastAsia="zh-CN"/>
        </w:rPr>
      </w:pPr>
      <w:r w:rsidRPr="00E02EBA">
        <w:rPr>
          <w:rFonts w:eastAsia="宋体"/>
          <w:b/>
          <w:bCs/>
          <w:lang w:eastAsia="zh-CN"/>
        </w:rPr>
        <w:t>Failure case 2</w:t>
      </w:r>
      <w:r>
        <w:rPr>
          <w:rFonts w:eastAsia="宋体"/>
          <w:lang w:eastAsia="zh-CN"/>
        </w:rPr>
        <w:t xml:space="preserve">: The SN performs an intra-SN </w:t>
      </w:r>
      <w:proofErr w:type="spellStart"/>
      <w:r>
        <w:rPr>
          <w:rFonts w:eastAsia="宋体"/>
          <w:lang w:eastAsia="zh-CN"/>
        </w:rPr>
        <w:t>PSCell</w:t>
      </w:r>
      <w:proofErr w:type="spellEnd"/>
      <w:r>
        <w:rPr>
          <w:rFonts w:eastAsia="宋体"/>
          <w:lang w:eastAsia="zh-CN"/>
        </w:rPr>
        <w:t xml:space="preserve"> change or SCG configuration update. According to the current specifications, the MN will not </w:t>
      </w:r>
      <w:r w:rsidR="00732235">
        <w:rPr>
          <w:rFonts w:eastAsia="宋体"/>
          <w:lang w:eastAsia="zh-CN"/>
        </w:rPr>
        <w:t xml:space="preserve">be </w:t>
      </w:r>
      <w:r>
        <w:rPr>
          <w:rFonts w:eastAsia="宋体"/>
          <w:lang w:eastAsia="zh-CN"/>
        </w:rPr>
        <w:t xml:space="preserve">aware of the </w:t>
      </w:r>
      <w:proofErr w:type="spellStart"/>
      <w:r>
        <w:rPr>
          <w:rFonts w:eastAsia="宋体"/>
          <w:lang w:eastAsia="zh-CN"/>
        </w:rPr>
        <w:t>PSCell</w:t>
      </w:r>
      <w:proofErr w:type="spellEnd"/>
      <w:r>
        <w:rPr>
          <w:rFonts w:eastAsia="宋体"/>
          <w:lang w:eastAsia="zh-CN"/>
        </w:rPr>
        <w:t xml:space="preserve"> change and the SCG configuration update. It will result in the failure on SCG.</w:t>
      </w:r>
    </w:p>
    <w:p w14:paraId="613560BC" w14:textId="674FBF3A" w:rsidR="00BA1C39" w:rsidRPr="0045195B" w:rsidRDefault="0072745E" w:rsidP="00EB59AD">
      <w:pPr>
        <w:rPr>
          <w:rFonts w:eastAsia="宋体"/>
          <w:lang w:eastAsia="zh-CN"/>
        </w:rPr>
      </w:pPr>
      <w:r>
        <w:rPr>
          <w:rFonts w:eastAsia="宋体"/>
          <w:lang w:eastAsia="zh-CN"/>
        </w:rPr>
        <w:t xml:space="preserve">The potential enhancement is that SN informs MN with </w:t>
      </w:r>
      <w:proofErr w:type="spellStart"/>
      <w:r>
        <w:rPr>
          <w:rFonts w:eastAsia="宋体"/>
          <w:lang w:eastAsia="zh-CN"/>
        </w:rPr>
        <w:t>PSCell</w:t>
      </w:r>
      <w:proofErr w:type="spellEnd"/>
      <w:r>
        <w:rPr>
          <w:rFonts w:eastAsia="宋体"/>
          <w:lang w:eastAsia="zh-CN"/>
        </w:rPr>
        <w:t xml:space="preserve"> change or SCG configuration update. Alternatively, UE does not apply the out-of-date SCG configuration since UE is aware that </w:t>
      </w:r>
      <w:proofErr w:type="spellStart"/>
      <w:r>
        <w:rPr>
          <w:rFonts w:eastAsia="宋体"/>
          <w:lang w:eastAsia="zh-CN"/>
        </w:rPr>
        <w:t>PSCell</w:t>
      </w:r>
      <w:proofErr w:type="spellEnd"/>
      <w:r>
        <w:rPr>
          <w:rFonts w:eastAsia="宋体"/>
          <w:lang w:eastAsia="zh-CN"/>
        </w:rPr>
        <w:t xml:space="preserve"> change / source SCG reconfiguration after CHO with SCG is configured. </w:t>
      </w:r>
    </w:p>
    <w:p w14:paraId="7C049152" w14:textId="68AD2D86" w:rsidR="00520D3D" w:rsidRDefault="00520D3D" w:rsidP="009A08E3">
      <w:pPr>
        <w:rPr>
          <w:rFonts w:eastAsia="宋体"/>
          <w:lang w:eastAsia="zh-CN"/>
        </w:rPr>
      </w:pPr>
      <w:r>
        <w:rPr>
          <w:rFonts w:eastAsia="宋体"/>
          <w:lang w:eastAsia="zh-CN"/>
        </w:rPr>
        <w:lastRenderedPageBreak/>
        <w:t>Therefore, for the sake of performance optimization, the above two failure cases could be considered in this WI.</w:t>
      </w:r>
    </w:p>
    <w:p w14:paraId="56B84D23" w14:textId="0F6B6749" w:rsidR="00520D3D" w:rsidRPr="006530AA" w:rsidRDefault="00520D3D" w:rsidP="009A08E3">
      <w:pPr>
        <w:rPr>
          <w:rFonts w:eastAsia="宋体"/>
          <w:lang w:eastAsia="zh-CN"/>
        </w:rPr>
      </w:pPr>
      <w:r>
        <w:rPr>
          <w:rFonts w:eastAsia="宋体"/>
          <w:b/>
          <w:lang w:eastAsia="zh-CN"/>
        </w:rPr>
        <w:t>Proposal 1</w:t>
      </w:r>
      <w:r w:rsidRPr="001A5304">
        <w:rPr>
          <w:rFonts w:eastAsia="宋体"/>
          <w:b/>
          <w:lang w:eastAsia="zh-CN"/>
        </w:rPr>
        <w:t xml:space="preserve">: </w:t>
      </w:r>
      <w:r>
        <w:rPr>
          <w:rFonts w:eastAsia="宋体"/>
          <w:b/>
          <w:lang w:eastAsia="zh-CN"/>
        </w:rPr>
        <w:t>Failure avoidance for target SCG addition/change should be considered to optimize CHO in NR-DC.</w:t>
      </w:r>
    </w:p>
    <w:p w14:paraId="49FF13FD" w14:textId="1E8C0DAD" w:rsidR="00DA53E0" w:rsidRDefault="005564E5" w:rsidP="00DA53E0">
      <w:pPr>
        <w:rPr>
          <w:rFonts w:eastAsia="宋体"/>
          <w:lang w:eastAsia="zh-CN"/>
        </w:rPr>
      </w:pPr>
      <w:r>
        <w:rPr>
          <w:rFonts w:eastAsia="宋体"/>
          <w:lang w:eastAsia="zh-CN"/>
        </w:rPr>
        <w:t xml:space="preserve"> </w:t>
      </w:r>
      <w:r w:rsidR="00DA53E0">
        <w:rPr>
          <w:rFonts w:eastAsia="宋体"/>
          <w:lang w:eastAsia="zh-CN"/>
        </w:rPr>
        <w:t>For the second objective, the following scenarios need to be considered:</w:t>
      </w:r>
    </w:p>
    <w:p w14:paraId="59AEA4C1" w14:textId="77777777" w:rsidR="00DA53E0" w:rsidRPr="00033FDA" w:rsidRDefault="00DA53E0" w:rsidP="00DA53E0">
      <w:pPr>
        <w:pStyle w:val="afe"/>
        <w:numPr>
          <w:ilvl w:val="0"/>
          <w:numId w:val="33"/>
        </w:numPr>
        <w:ind w:firstLineChars="0"/>
        <w:rPr>
          <w:rFonts w:eastAsia="宋体"/>
          <w:b/>
          <w:bCs/>
          <w:lang w:eastAsia="zh-CN"/>
        </w:rPr>
      </w:pPr>
      <w:r w:rsidRPr="00033FDA">
        <w:rPr>
          <w:rFonts w:eastAsia="宋体"/>
          <w:b/>
          <w:bCs/>
          <w:lang w:eastAsia="zh-CN"/>
        </w:rPr>
        <w:t>Scenario 1: CHO including target MCG and candidate SCGs for CPA.</w:t>
      </w:r>
    </w:p>
    <w:p w14:paraId="1BF363C5" w14:textId="5078F941" w:rsidR="00DA53E0" w:rsidRDefault="00DA53E0" w:rsidP="00DA53E0">
      <w:pPr>
        <w:rPr>
          <w:rFonts w:eastAsia="宋体"/>
          <w:lang w:eastAsia="zh-CN"/>
        </w:rPr>
      </w:pPr>
      <w:r>
        <w:rPr>
          <w:rFonts w:eastAsia="宋体"/>
          <w:lang w:eastAsia="zh-CN"/>
        </w:rPr>
        <w:t>In this scenario, the UE is configured with DC or SA in source side. The CHO configuration includes target MCG without target SCG. In addition, the CPA is embedded in the CHO configuration.</w:t>
      </w:r>
    </w:p>
    <w:p w14:paraId="445DA7EE" w14:textId="2261608D" w:rsidR="00DA53E0" w:rsidRPr="00033FDA" w:rsidRDefault="00DA53E0" w:rsidP="00DA53E0">
      <w:pPr>
        <w:pStyle w:val="afe"/>
        <w:numPr>
          <w:ilvl w:val="0"/>
          <w:numId w:val="33"/>
        </w:numPr>
        <w:ind w:firstLineChars="0"/>
        <w:rPr>
          <w:rFonts w:eastAsia="宋体"/>
          <w:b/>
          <w:bCs/>
          <w:lang w:eastAsia="zh-CN"/>
        </w:rPr>
      </w:pPr>
      <w:r w:rsidRPr="00033FDA">
        <w:rPr>
          <w:rFonts w:eastAsia="宋体"/>
          <w:b/>
          <w:bCs/>
          <w:lang w:eastAsia="zh-CN"/>
        </w:rPr>
        <w:t xml:space="preserve">Scenario </w:t>
      </w:r>
      <w:r>
        <w:rPr>
          <w:rFonts w:eastAsia="宋体"/>
          <w:b/>
          <w:bCs/>
          <w:lang w:eastAsia="zh-CN"/>
        </w:rPr>
        <w:t>2</w:t>
      </w:r>
      <w:r w:rsidRPr="00033FDA">
        <w:rPr>
          <w:rFonts w:eastAsia="宋体"/>
          <w:b/>
          <w:bCs/>
          <w:lang w:eastAsia="zh-CN"/>
        </w:rPr>
        <w:t>: CHO including target MCG, target SCG and candidate SCGs for CPC.</w:t>
      </w:r>
    </w:p>
    <w:p w14:paraId="6C605095" w14:textId="5206CCEC" w:rsidR="00DA53E0" w:rsidRDefault="00DA53E0" w:rsidP="00DA53E0">
      <w:pPr>
        <w:rPr>
          <w:rFonts w:eastAsia="宋体"/>
          <w:lang w:eastAsia="zh-CN"/>
        </w:rPr>
      </w:pPr>
      <w:r>
        <w:rPr>
          <w:rFonts w:eastAsia="宋体"/>
          <w:lang w:eastAsia="zh-CN"/>
        </w:rPr>
        <w:t xml:space="preserve">In this scenario, the </w:t>
      </w:r>
      <w:r>
        <w:rPr>
          <w:rFonts w:eastAsiaTheme="minorEastAsia"/>
          <w:bCs/>
          <w:lang w:val="en-US" w:eastAsia="zh-CN"/>
        </w:rPr>
        <w:t>CHO configuration includes target MCG, target SCG and the embedded candidate SCGs for CPC. Regarding candidate SCGs for CPC, the configuration of candidate SCGs will be based on the target SCG if delta configuration is used. According to the legacy, target SCG could be same or different from source SCG.</w:t>
      </w:r>
    </w:p>
    <w:p w14:paraId="3264F8E2" w14:textId="6BFA9791" w:rsidR="00B97D1E" w:rsidRDefault="00B01F83" w:rsidP="009A08E3">
      <w:pPr>
        <w:rPr>
          <w:rFonts w:eastAsia="宋体"/>
          <w:lang w:eastAsia="zh-CN"/>
        </w:rPr>
      </w:pPr>
      <w:r>
        <w:rPr>
          <w:rFonts w:eastAsia="宋体"/>
          <w:b/>
          <w:lang w:eastAsia="zh-CN"/>
        </w:rPr>
        <w:t>Proposal 2</w:t>
      </w:r>
      <w:r w:rsidRPr="001A5304">
        <w:rPr>
          <w:rFonts w:eastAsia="宋体"/>
          <w:b/>
          <w:lang w:eastAsia="zh-CN"/>
        </w:rPr>
        <w:t xml:space="preserve">: </w:t>
      </w:r>
      <w:r w:rsidR="00641123">
        <w:rPr>
          <w:rFonts w:eastAsia="宋体"/>
          <w:b/>
          <w:lang w:eastAsia="zh-CN"/>
        </w:rPr>
        <w:t xml:space="preserve">The following </w:t>
      </w:r>
      <w:r w:rsidR="00F5562A">
        <w:rPr>
          <w:rFonts w:eastAsia="宋体"/>
          <w:b/>
          <w:lang w:eastAsia="zh-CN"/>
        </w:rPr>
        <w:t>scenarios</w:t>
      </w:r>
      <w:r>
        <w:rPr>
          <w:rFonts w:eastAsia="宋体"/>
          <w:b/>
          <w:lang w:eastAsia="zh-CN"/>
        </w:rPr>
        <w:t xml:space="preserve"> should be supported for the CHO in NR-DC.</w:t>
      </w:r>
    </w:p>
    <w:p w14:paraId="1F6D955E" w14:textId="6955D53E" w:rsidR="00C64BA2" w:rsidRPr="00B01F83" w:rsidRDefault="00B01F83" w:rsidP="00B01F83">
      <w:pPr>
        <w:pStyle w:val="afe"/>
        <w:numPr>
          <w:ilvl w:val="0"/>
          <w:numId w:val="33"/>
        </w:numPr>
        <w:ind w:firstLineChars="0"/>
        <w:rPr>
          <w:rFonts w:eastAsia="宋体"/>
          <w:b/>
          <w:bCs/>
          <w:lang w:eastAsia="zh-CN"/>
        </w:rPr>
      </w:pPr>
      <w:r w:rsidRPr="00B01F83">
        <w:rPr>
          <w:rFonts w:eastAsia="宋体"/>
          <w:b/>
          <w:bCs/>
          <w:lang w:eastAsia="zh-CN"/>
        </w:rPr>
        <w:t>CHO including target MCG and candidate SCGs for CPA.</w:t>
      </w:r>
    </w:p>
    <w:p w14:paraId="56AD100D" w14:textId="6FA0E9D8" w:rsidR="00C64BA2" w:rsidRPr="00B01F83" w:rsidRDefault="00B01F83" w:rsidP="00B01F83">
      <w:pPr>
        <w:pStyle w:val="afe"/>
        <w:numPr>
          <w:ilvl w:val="0"/>
          <w:numId w:val="33"/>
        </w:numPr>
        <w:ind w:firstLineChars="0"/>
        <w:rPr>
          <w:rFonts w:eastAsia="宋体"/>
          <w:b/>
          <w:bCs/>
          <w:lang w:eastAsia="zh-CN"/>
        </w:rPr>
      </w:pPr>
      <w:r w:rsidRPr="00B01F83">
        <w:rPr>
          <w:rFonts w:eastAsia="宋体"/>
          <w:b/>
          <w:bCs/>
          <w:lang w:eastAsia="zh-CN"/>
        </w:rPr>
        <w:t>CHO including target MCG, target SCG and candidate SCGs for CPC.</w:t>
      </w:r>
    </w:p>
    <w:p w14:paraId="5BC6EE07" w14:textId="41FC7269" w:rsidR="00C64BA2" w:rsidRDefault="00F5562A" w:rsidP="009A08E3">
      <w:pPr>
        <w:rPr>
          <w:rFonts w:eastAsia="宋体"/>
          <w:lang w:eastAsia="zh-CN"/>
        </w:rPr>
      </w:pPr>
      <w:r>
        <w:rPr>
          <w:rFonts w:eastAsia="宋体"/>
          <w:lang w:eastAsia="zh-CN"/>
        </w:rPr>
        <w:t>In Rel-17, the CPC/CPA for EN-DC and NR-DC and CHO including target MCG and target SCG has been supported.</w:t>
      </w:r>
    </w:p>
    <w:p w14:paraId="0CBDFAF8" w14:textId="6A66A003" w:rsidR="00D04A42" w:rsidRDefault="00D04A42" w:rsidP="009A08E3">
      <w:pPr>
        <w:rPr>
          <w:rFonts w:eastAsia="宋体"/>
          <w:lang w:eastAsia="zh-CN"/>
        </w:rPr>
      </w:pPr>
      <w:r>
        <w:rPr>
          <w:rFonts w:eastAsia="宋体"/>
          <w:lang w:eastAsia="zh-CN"/>
        </w:rPr>
        <w:t xml:space="preserve">For the </w:t>
      </w:r>
      <w:proofErr w:type="spellStart"/>
      <w:r>
        <w:rPr>
          <w:rFonts w:eastAsia="宋体"/>
          <w:lang w:eastAsia="zh-CN"/>
        </w:rPr>
        <w:t>Xn</w:t>
      </w:r>
      <w:proofErr w:type="spellEnd"/>
      <w:r>
        <w:rPr>
          <w:rFonts w:eastAsia="宋体"/>
          <w:lang w:eastAsia="zh-CN"/>
        </w:rPr>
        <w:t xml:space="preserve"> interface, a “</w:t>
      </w:r>
      <w:r w:rsidRPr="00D04A42">
        <w:rPr>
          <w:rFonts w:eastAsia="宋体"/>
          <w:i/>
          <w:iCs/>
          <w:lang w:eastAsia="zh-CN"/>
        </w:rPr>
        <w:t xml:space="preserve">CHO </w:t>
      </w:r>
      <w:r w:rsidR="00006C23">
        <w:rPr>
          <w:rFonts w:eastAsia="宋体"/>
          <w:i/>
          <w:iCs/>
          <w:lang w:eastAsia="zh-CN"/>
        </w:rPr>
        <w:t>I</w:t>
      </w:r>
      <w:r w:rsidRPr="00D04A42">
        <w:rPr>
          <w:rFonts w:eastAsia="宋体"/>
          <w:i/>
          <w:iCs/>
          <w:lang w:eastAsia="zh-CN"/>
        </w:rPr>
        <w:t xml:space="preserve">nformation </w:t>
      </w:r>
      <w:r w:rsidR="00006C23">
        <w:rPr>
          <w:rFonts w:eastAsia="宋体"/>
          <w:i/>
          <w:iCs/>
          <w:lang w:eastAsia="zh-CN"/>
        </w:rPr>
        <w:t>A</w:t>
      </w:r>
      <w:r w:rsidRPr="00D04A42">
        <w:rPr>
          <w:rFonts w:eastAsia="宋体"/>
          <w:i/>
          <w:iCs/>
          <w:lang w:eastAsia="zh-CN"/>
        </w:rPr>
        <w:t xml:space="preserve">ddition </w:t>
      </w:r>
      <w:r w:rsidR="00006C23">
        <w:rPr>
          <w:rFonts w:eastAsia="宋体"/>
          <w:i/>
          <w:iCs/>
          <w:lang w:eastAsia="zh-CN"/>
        </w:rPr>
        <w:t>R</w:t>
      </w:r>
      <w:r w:rsidRPr="00D04A42">
        <w:rPr>
          <w:rFonts w:eastAsia="宋体"/>
          <w:i/>
          <w:iCs/>
          <w:lang w:eastAsia="zh-CN"/>
        </w:rPr>
        <w:t>equest</w:t>
      </w:r>
      <w:r>
        <w:rPr>
          <w:rFonts w:eastAsia="宋体"/>
          <w:lang w:eastAsia="zh-CN"/>
        </w:rPr>
        <w:t xml:space="preserve">” IE is added in the SN addition preparation procedure to indicate the addition </w:t>
      </w:r>
      <w:r w:rsidR="003C2B16">
        <w:rPr>
          <w:rFonts w:eastAsia="宋体"/>
          <w:lang w:eastAsia="zh-CN"/>
        </w:rPr>
        <w:t>has been triggered as part of a</w:t>
      </w:r>
      <w:r>
        <w:rPr>
          <w:rFonts w:eastAsia="宋体"/>
          <w:lang w:eastAsia="zh-CN"/>
        </w:rPr>
        <w:t xml:space="preserve"> conditional </w:t>
      </w:r>
      <w:r w:rsidR="003C2B16">
        <w:rPr>
          <w:rFonts w:eastAsia="宋体"/>
          <w:lang w:eastAsia="zh-CN"/>
        </w:rPr>
        <w:t>handover</w:t>
      </w:r>
      <w:r>
        <w:rPr>
          <w:rFonts w:eastAsia="宋体"/>
          <w:lang w:eastAsia="zh-CN"/>
        </w:rPr>
        <w:t>. In addition, this IE provides MN ID and UE ID allocated in the source MN to SN to combine SN addition requests that may possibly arrive from different target MNs.</w:t>
      </w:r>
    </w:p>
    <w:p w14:paraId="797512FA" w14:textId="2CABE3E7" w:rsidR="00B01F83" w:rsidRDefault="002258E9" w:rsidP="009A08E3">
      <w:pPr>
        <w:rPr>
          <w:rFonts w:eastAsia="宋体"/>
          <w:lang w:eastAsia="zh-CN"/>
        </w:rPr>
      </w:pPr>
      <w:r>
        <w:rPr>
          <w:rFonts w:eastAsia="宋体"/>
          <w:lang w:eastAsia="zh-CN"/>
        </w:rPr>
        <w:t>In the MN initiated SN modification preparation procedure, a “</w:t>
      </w:r>
      <w:r w:rsidRPr="00B16FEB">
        <w:rPr>
          <w:rFonts w:eastAsia="宋体"/>
          <w:i/>
          <w:iCs/>
          <w:lang w:eastAsia="zh-CN"/>
        </w:rPr>
        <w:t xml:space="preserve">CHO </w:t>
      </w:r>
      <w:r w:rsidR="00006C23">
        <w:rPr>
          <w:rFonts w:eastAsia="宋体"/>
          <w:i/>
          <w:iCs/>
          <w:lang w:eastAsia="zh-CN"/>
        </w:rPr>
        <w:t>I</w:t>
      </w:r>
      <w:r w:rsidRPr="00B16FEB">
        <w:rPr>
          <w:rFonts w:eastAsia="宋体"/>
          <w:i/>
          <w:iCs/>
          <w:lang w:eastAsia="zh-CN"/>
        </w:rPr>
        <w:t xml:space="preserve">nformation </w:t>
      </w:r>
      <w:r w:rsidR="00006C23">
        <w:rPr>
          <w:rFonts w:eastAsia="宋体"/>
          <w:i/>
          <w:iCs/>
          <w:lang w:eastAsia="zh-CN"/>
        </w:rPr>
        <w:t>M</w:t>
      </w:r>
      <w:r w:rsidRPr="00B16FEB">
        <w:rPr>
          <w:rFonts w:eastAsia="宋体"/>
          <w:i/>
          <w:iCs/>
          <w:lang w:eastAsia="zh-CN"/>
        </w:rPr>
        <w:t xml:space="preserve">odification </w:t>
      </w:r>
      <w:r w:rsidR="00006C23">
        <w:rPr>
          <w:rFonts w:eastAsia="宋体"/>
          <w:i/>
          <w:iCs/>
          <w:lang w:eastAsia="zh-CN"/>
        </w:rPr>
        <w:t>R</w:t>
      </w:r>
      <w:r w:rsidRPr="00B16FEB">
        <w:rPr>
          <w:rFonts w:eastAsia="宋体"/>
          <w:i/>
          <w:iCs/>
          <w:lang w:eastAsia="zh-CN"/>
        </w:rPr>
        <w:t>equest</w:t>
      </w:r>
      <w:r>
        <w:rPr>
          <w:rFonts w:eastAsia="宋体"/>
          <w:lang w:eastAsia="zh-CN"/>
        </w:rPr>
        <w:t xml:space="preserve">” IE is added to indicate the </w:t>
      </w:r>
      <w:r w:rsidR="003C2B16">
        <w:rPr>
          <w:rFonts w:eastAsia="宋体"/>
          <w:lang w:eastAsia="zh-CN"/>
        </w:rPr>
        <w:t>modification has been triggered as part of a conditional handover.</w:t>
      </w:r>
    </w:p>
    <w:p w14:paraId="43943C20" w14:textId="64FD9A4C" w:rsidR="00B01F83" w:rsidRDefault="00516DD0" w:rsidP="009A08E3">
      <w:pPr>
        <w:rPr>
          <w:rFonts w:eastAsia="宋体"/>
          <w:lang w:eastAsia="zh-CN"/>
        </w:rPr>
      </w:pPr>
      <w:r>
        <w:rPr>
          <w:rFonts w:eastAsia="宋体"/>
          <w:lang w:eastAsia="zh-CN"/>
        </w:rPr>
        <w:t xml:space="preserve">Therefore, the </w:t>
      </w:r>
      <w:proofErr w:type="spellStart"/>
      <w:r>
        <w:rPr>
          <w:rFonts w:eastAsia="宋体"/>
          <w:lang w:eastAsia="zh-CN"/>
        </w:rPr>
        <w:t>Xn</w:t>
      </w:r>
      <w:proofErr w:type="spellEnd"/>
      <w:r>
        <w:rPr>
          <w:rFonts w:eastAsia="宋体"/>
          <w:lang w:eastAsia="zh-CN"/>
        </w:rPr>
        <w:t xml:space="preserve"> signalling for CHO including target MCG and target SCG can be used as the baseline for the CHO in NR-DC to minimize the complexity and the impact on specifications.</w:t>
      </w:r>
    </w:p>
    <w:p w14:paraId="0E928054" w14:textId="04C11D80" w:rsidR="00B01F83" w:rsidRDefault="00AF0EC5" w:rsidP="009A08E3">
      <w:pPr>
        <w:rPr>
          <w:rFonts w:eastAsia="宋体"/>
          <w:lang w:eastAsia="zh-CN"/>
        </w:rPr>
      </w:pPr>
      <w:r>
        <w:rPr>
          <w:rFonts w:eastAsia="宋体"/>
          <w:b/>
          <w:lang w:eastAsia="zh-CN"/>
        </w:rPr>
        <w:t>Proposal 3</w:t>
      </w:r>
      <w:r w:rsidRPr="001A5304">
        <w:rPr>
          <w:rFonts w:eastAsia="宋体"/>
          <w:b/>
          <w:lang w:eastAsia="zh-CN"/>
        </w:rPr>
        <w:t xml:space="preserve">: </w:t>
      </w:r>
      <w:r>
        <w:rPr>
          <w:rFonts w:eastAsia="宋体"/>
          <w:b/>
          <w:lang w:eastAsia="zh-CN"/>
        </w:rPr>
        <w:t xml:space="preserve">To support CHO in NR-DC, </w:t>
      </w:r>
      <w:proofErr w:type="spellStart"/>
      <w:r>
        <w:rPr>
          <w:rFonts w:eastAsia="宋体"/>
          <w:b/>
          <w:lang w:eastAsia="zh-CN"/>
        </w:rPr>
        <w:t>Xn</w:t>
      </w:r>
      <w:proofErr w:type="spellEnd"/>
      <w:r>
        <w:rPr>
          <w:rFonts w:eastAsia="宋体"/>
          <w:b/>
          <w:lang w:eastAsia="zh-CN"/>
        </w:rPr>
        <w:t xml:space="preserve"> signalling for CHO including target MCG and target SCG should be used as baseline.</w:t>
      </w:r>
    </w:p>
    <w:p w14:paraId="254D3C66" w14:textId="2DC2D989" w:rsidR="00B01F83" w:rsidRDefault="00006C23" w:rsidP="009A08E3">
      <w:pPr>
        <w:rPr>
          <w:rFonts w:eastAsia="宋体"/>
          <w:lang w:eastAsia="zh-CN"/>
        </w:rPr>
      </w:pPr>
      <w:r>
        <w:rPr>
          <w:rFonts w:eastAsia="宋体"/>
          <w:lang w:eastAsia="zh-CN"/>
        </w:rPr>
        <w:t>For the F1 interface, a “</w:t>
      </w:r>
      <w:r w:rsidRPr="00E35959">
        <w:rPr>
          <w:rFonts w:eastAsia="宋体"/>
          <w:i/>
          <w:iCs/>
          <w:lang w:eastAsia="zh-CN"/>
        </w:rPr>
        <w:t>Conditional Inter-DU Mobility Information</w:t>
      </w:r>
      <w:r>
        <w:rPr>
          <w:rFonts w:eastAsia="宋体"/>
          <w:lang w:eastAsia="zh-CN"/>
        </w:rPr>
        <w:t xml:space="preserve">” IE is added in the UE context setup procedure to indicate the request concerns a conditional handover or conditional </w:t>
      </w:r>
      <w:proofErr w:type="spellStart"/>
      <w:r>
        <w:rPr>
          <w:rFonts w:eastAsia="宋体"/>
          <w:lang w:eastAsia="zh-CN"/>
        </w:rPr>
        <w:t>PSCell</w:t>
      </w:r>
      <w:proofErr w:type="spellEnd"/>
      <w:r>
        <w:rPr>
          <w:rFonts w:eastAsia="宋体"/>
          <w:lang w:eastAsia="zh-CN"/>
        </w:rPr>
        <w:t xml:space="preserve"> addition or conditional </w:t>
      </w:r>
      <w:proofErr w:type="spellStart"/>
      <w:r>
        <w:rPr>
          <w:rFonts w:eastAsia="宋体"/>
          <w:lang w:eastAsia="zh-CN"/>
        </w:rPr>
        <w:t>PSCell</w:t>
      </w:r>
      <w:proofErr w:type="spellEnd"/>
      <w:r>
        <w:rPr>
          <w:rFonts w:eastAsia="宋体"/>
          <w:lang w:eastAsia="zh-CN"/>
        </w:rPr>
        <w:t xml:space="preserve"> change. In addition, this IE provides </w:t>
      </w:r>
      <w:r w:rsidR="00E35959">
        <w:rPr>
          <w:rFonts w:eastAsia="宋体"/>
          <w:lang w:eastAsia="zh-CN"/>
        </w:rPr>
        <w:t>“</w:t>
      </w:r>
      <w:r w:rsidR="00E35959" w:rsidRPr="00E35959">
        <w:rPr>
          <w:rFonts w:eastAsia="宋体"/>
          <w:i/>
          <w:iCs/>
          <w:lang w:eastAsia="zh-CN"/>
        </w:rPr>
        <w:t xml:space="preserve">Target </w:t>
      </w:r>
      <w:proofErr w:type="spellStart"/>
      <w:r w:rsidR="00E35959" w:rsidRPr="00E35959">
        <w:rPr>
          <w:rFonts w:eastAsia="宋体"/>
          <w:i/>
          <w:iCs/>
          <w:lang w:eastAsia="zh-CN"/>
        </w:rPr>
        <w:t>gNB</w:t>
      </w:r>
      <w:proofErr w:type="spellEnd"/>
      <w:r w:rsidR="00E35959" w:rsidRPr="00E35959">
        <w:rPr>
          <w:rFonts w:eastAsia="宋体"/>
          <w:i/>
          <w:iCs/>
          <w:lang w:eastAsia="zh-CN"/>
        </w:rPr>
        <w:t>-DU UE F1AP ID</w:t>
      </w:r>
      <w:r w:rsidR="00E35959">
        <w:rPr>
          <w:rFonts w:eastAsia="宋体"/>
          <w:lang w:eastAsia="zh-CN"/>
        </w:rPr>
        <w:t xml:space="preserve">” to request the DU to replace the existing prepared conditional handover or conditional </w:t>
      </w:r>
      <w:proofErr w:type="spellStart"/>
      <w:r w:rsidR="00E35959">
        <w:rPr>
          <w:rFonts w:eastAsia="宋体"/>
          <w:lang w:eastAsia="zh-CN"/>
        </w:rPr>
        <w:t>PSCell</w:t>
      </w:r>
      <w:proofErr w:type="spellEnd"/>
      <w:r w:rsidR="00E35959">
        <w:rPr>
          <w:rFonts w:eastAsia="宋体"/>
          <w:lang w:eastAsia="zh-CN"/>
        </w:rPr>
        <w:t xml:space="preserve"> addition or conditional </w:t>
      </w:r>
      <w:proofErr w:type="spellStart"/>
      <w:r w:rsidR="00E35959">
        <w:rPr>
          <w:rFonts w:eastAsia="宋体"/>
          <w:lang w:eastAsia="zh-CN"/>
        </w:rPr>
        <w:t>PSCell</w:t>
      </w:r>
      <w:proofErr w:type="spellEnd"/>
      <w:r w:rsidR="00E35959">
        <w:rPr>
          <w:rFonts w:eastAsia="宋体"/>
          <w:lang w:eastAsia="zh-CN"/>
        </w:rPr>
        <w:t xml:space="preserve"> change.</w:t>
      </w:r>
    </w:p>
    <w:p w14:paraId="27203AE2" w14:textId="0EB31CF5" w:rsidR="00E35959" w:rsidRDefault="00E35959" w:rsidP="009A08E3">
      <w:pPr>
        <w:rPr>
          <w:rFonts w:eastAsia="宋体"/>
          <w:lang w:eastAsia="zh-CN"/>
        </w:rPr>
      </w:pPr>
      <w:r>
        <w:rPr>
          <w:rFonts w:eastAsia="宋体"/>
          <w:lang w:eastAsia="zh-CN"/>
        </w:rPr>
        <w:t>In the UE context modification (</w:t>
      </w:r>
      <w:proofErr w:type="spellStart"/>
      <w:r>
        <w:rPr>
          <w:rFonts w:eastAsia="宋体"/>
          <w:lang w:eastAsia="zh-CN"/>
        </w:rPr>
        <w:t>gNB</w:t>
      </w:r>
      <w:proofErr w:type="spellEnd"/>
      <w:r>
        <w:rPr>
          <w:rFonts w:eastAsia="宋体"/>
          <w:lang w:eastAsia="zh-CN"/>
        </w:rPr>
        <w:t>-CU initiated) procedure, a “</w:t>
      </w:r>
      <w:r w:rsidR="00B210C5">
        <w:rPr>
          <w:rFonts w:eastAsia="宋体"/>
          <w:lang w:eastAsia="zh-CN"/>
        </w:rPr>
        <w:t>Conditional Intra-DU Mobility Information</w:t>
      </w:r>
      <w:r>
        <w:rPr>
          <w:rFonts w:eastAsia="宋体"/>
          <w:lang w:eastAsia="zh-CN"/>
        </w:rPr>
        <w:t>”</w:t>
      </w:r>
      <w:r w:rsidR="00B210C5">
        <w:rPr>
          <w:rFonts w:eastAsia="宋体"/>
          <w:lang w:eastAsia="zh-CN"/>
        </w:rPr>
        <w:t xml:space="preserve"> is added to indicate the modification has been triggered as part of a conditional handover.</w:t>
      </w:r>
    </w:p>
    <w:p w14:paraId="086AAD7D" w14:textId="354CCF1C" w:rsidR="00B210C5" w:rsidRDefault="00B210C5" w:rsidP="003E47A3">
      <w:pPr>
        <w:pStyle w:val="afe"/>
        <w:numPr>
          <w:ilvl w:val="0"/>
          <w:numId w:val="33"/>
        </w:numPr>
        <w:ind w:firstLineChars="0"/>
        <w:rPr>
          <w:rFonts w:eastAsia="宋体"/>
          <w:lang w:eastAsia="zh-CN"/>
        </w:rPr>
      </w:pPr>
      <w:r>
        <w:rPr>
          <w:rFonts w:eastAsia="宋体"/>
          <w:lang w:eastAsia="zh-CN"/>
        </w:rPr>
        <w:t xml:space="preserve">If the CHO trigger is set to “CHO-initiation”, the DU shall consider that the request concerns a conditional handover or conditional </w:t>
      </w:r>
      <w:proofErr w:type="spellStart"/>
      <w:r>
        <w:rPr>
          <w:rFonts w:eastAsia="宋体"/>
          <w:lang w:eastAsia="zh-CN"/>
        </w:rPr>
        <w:t>PSCell</w:t>
      </w:r>
      <w:proofErr w:type="spellEnd"/>
      <w:r>
        <w:rPr>
          <w:rFonts w:eastAsia="宋体"/>
          <w:lang w:eastAsia="zh-CN"/>
        </w:rPr>
        <w:t xml:space="preserve"> addition or conditional </w:t>
      </w:r>
      <w:proofErr w:type="spellStart"/>
      <w:r>
        <w:rPr>
          <w:rFonts w:eastAsia="宋体"/>
          <w:lang w:eastAsia="zh-CN"/>
        </w:rPr>
        <w:t>PSCell</w:t>
      </w:r>
      <w:proofErr w:type="spellEnd"/>
      <w:r>
        <w:rPr>
          <w:rFonts w:eastAsia="宋体"/>
          <w:lang w:eastAsia="zh-CN"/>
        </w:rPr>
        <w:t xml:space="preserve"> change.</w:t>
      </w:r>
    </w:p>
    <w:p w14:paraId="5EB22ED3" w14:textId="321CE49A"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“CHO-replace”, the DU shall replace the existing prepared conditional mobility.</w:t>
      </w:r>
    </w:p>
    <w:p w14:paraId="197AB50D" w14:textId="29A6C772" w:rsidR="00B210C5" w:rsidRDefault="00B210C5" w:rsidP="003E47A3">
      <w:pPr>
        <w:pStyle w:val="afe"/>
        <w:numPr>
          <w:ilvl w:val="0"/>
          <w:numId w:val="33"/>
        </w:numPr>
        <w:ind w:firstLineChars="0"/>
        <w:rPr>
          <w:rFonts w:eastAsia="宋体"/>
          <w:lang w:eastAsia="zh-CN"/>
        </w:rPr>
      </w:pPr>
      <w:r>
        <w:rPr>
          <w:rFonts w:eastAsia="宋体"/>
          <w:lang w:eastAsia="zh-CN"/>
        </w:rPr>
        <w:t>If the CHO trigger is set to “CHO-cancel”, the DU shall consider that the CU is about to remove any reference to</w:t>
      </w:r>
      <w:r w:rsidR="003E47A3">
        <w:rPr>
          <w:rFonts w:eastAsia="宋体"/>
          <w:lang w:eastAsia="zh-CN"/>
        </w:rPr>
        <w:t>, and release any resources previously reserved for the candidate cells.</w:t>
      </w:r>
    </w:p>
    <w:p w14:paraId="7E3E36E1" w14:textId="2D501E4A" w:rsidR="003E47A3" w:rsidRDefault="00E37458" w:rsidP="009A08E3">
      <w:pPr>
        <w:rPr>
          <w:rFonts w:eastAsia="宋体"/>
          <w:lang w:eastAsia="zh-CN"/>
        </w:rPr>
      </w:pPr>
      <w:r>
        <w:rPr>
          <w:rFonts w:eastAsia="宋体"/>
          <w:lang w:eastAsia="zh-CN"/>
        </w:rPr>
        <w:t xml:space="preserve">Therefore, the F1 signalling for CHO </w:t>
      </w:r>
      <w:r w:rsidR="00340400">
        <w:rPr>
          <w:rFonts w:eastAsia="宋体"/>
          <w:lang w:eastAsia="zh-CN"/>
        </w:rPr>
        <w:t>including target MCG and target SCG can be used as the baseline for the CHO in NR-DC to minimize the complexity and the impact on specifications.</w:t>
      </w:r>
    </w:p>
    <w:p w14:paraId="75A6C81C" w14:textId="2AC69C80" w:rsidR="00340400" w:rsidRDefault="00340400" w:rsidP="009A08E3">
      <w:pPr>
        <w:rPr>
          <w:rFonts w:eastAsia="宋体"/>
          <w:lang w:eastAsia="zh-CN"/>
        </w:rPr>
      </w:pPr>
      <w:r>
        <w:rPr>
          <w:rFonts w:eastAsia="宋体"/>
          <w:b/>
          <w:lang w:eastAsia="zh-CN"/>
        </w:rPr>
        <w:t>Proposal 4</w:t>
      </w:r>
      <w:r w:rsidRPr="001A5304">
        <w:rPr>
          <w:rFonts w:eastAsia="宋体"/>
          <w:b/>
          <w:lang w:eastAsia="zh-CN"/>
        </w:rPr>
        <w:t xml:space="preserve">: </w:t>
      </w:r>
      <w:r>
        <w:rPr>
          <w:rFonts w:eastAsia="宋体"/>
          <w:b/>
          <w:lang w:eastAsia="zh-CN"/>
        </w:rPr>
        <w:t>To support CHO in NR-DC, F1 signalling for CHO including target MCG and target SCG should be used as baseline.</w:t>
      </w:r>
    </w:p>
    <w:p w14:paraId="12489936" w14:textId="57E9F773" w:rsidR="00693F58" w:rsidRDefault="00E6128D" w:rsidP="009A08E3">
      <w:pPr>
        <w:rPr>
          <w:rFonts w:eastAsia="宋体"/>
          <w:lang w:eastAsia="zh-CN"/>
        </w:rPr>
      </w:pPr>
      <w:r>
        <w:rPr>
          <w:rFonts w:eastAsia="宋体"/>
          <w:lang w:eastAsia="zh-CN"/>
        </w:rPr>
        <w:t xml:space="preserve">According to the current specification, for the CPA and MN initiated inter-SN CPC, it is up to the MN to decide the execution condition of each candidate </w:t>
      </w:r>
      <w:proofErr w:type="spellStart"/>
      <w:r>
        <w:rPr>
          <w:rFonts w:eastAsia="宋体"/>
          <w:lang w:eastAsia="zh-CN"/>
        </w:rPr>
        <w:t>PSCell</w:t>
      </w:r>
      <w:proofErr w:type="spellEnd"/>
      <w:r>
        <w:rPr>
          <w:rFonts w:eastAsia="宋体"/>
          <w:lang w:eastAsia="zh-CN"/>
        </w:rPr>
        <w:t xml:space="preserve"> and MN is not required to indicate the execution condition to the other nodes.</w:t>
      </w:r>
    </w:p>
    <w:p w14:paraId="23E5FCAF" w14:textId="634B9751" w:rsidR="00693F58" w:rsidRDefault="00E6128D" w:rsidP="009A08E3">
      <w:pPr>
        <w:rPr>
          <w:rFonts w:eastAsia="宋体"/>
          <w:lang w:eastAsia="zh-CN"/>
        </w:rPr>
      </w:pPr>
      <w:r>
        <w:rPr>
          <w:rFonts w:eastAsia="宋体"/>
          <w:lang w:eastAsia="zh-CN"/>
        </w:rPr>
        <w:t>In addition, during an MN handover, the target MN decides whether to keep or change the SN.</w:t>
      </w:r>
    </w:p>
    <w:p w14:paraId="41751190" w14:textId="389A487B" w:rsidR="00693F58" w:rsidRDefault="00E6128D" w:rsidP="009A08E3">
      <w:pPr>
        <w:rPr>
          <w:rFonts w:eastAsia="宋体"/>
          <w:lang w:eastAsia="zh-CN"/>
        </w:rPr>
      </w:pPr>
      <w:r>
        <w:rPr>
          <w:rFonts w:eastAsia="宋体"/>
          <w:lang w:eastAsia="zh-CN"/>
        </w:rPr>
        <w:lastRenderedPageBreak/>
        <w:t>Therefore, it is proposed that the target MN configures the CPA/CPC execution condition for the CHO in NR-DC to minimize the complexity and the impact on specifications.</w:t>
      </w:r>
    </w:p>
    <w:p w14:paraId="13D03F4F" w14:textId="15D251ED" w:rsidR="00693F58" w:rsidRDefault="00A256FF" w:rsidP="009A08E3">
      <w:pPr>
        <w:rPr>
          <w:rFonts w:eastAsia="宋体"/>
          <w:lang w:eastAsia="zh-CN"/>
        </w:rPr>
      </w:pPr>
      <w:r>
        <w:rPr>
          <w:rFonts w:eastAsia="宋体"/>
          <w:b/>
          <w:lang w:eastAsia="zh-CN"/>
        </w:rPr>
        <w:t>Proposal 5</w:t>
      </w:r>
      <w:r w:rsidRPr="001A5304">
        <w:rPr>
          <w:rFonts w:eastAsia="宋体"/>
          <w:b/>
          <w:lang w:eastAsia="zh-CN"/>
        </w:rPr>
        <w:t xml:space="preserve">: </w:t>
      </w:r>
      <w:r>
        <w:rPr>
          <w:rFonts w:eastAsia="宋体"/>
          <w:b/>
          <w:lang w:eastAsia="zh-CN"/>
        </w:rPr>
        <w:t>CPA/CPC execution condition should be configured by the target MN for the CHO in NR-DC.</w:t>
      </w:r>
    </w:p>
    <w:p w14:paraId="2A9D8DCF" w14:textId="77777777" w:rsidR="00326166" w:rsidRPr="007D3E81" w:rsidRDefault="003E4051"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6ACC7B1E" w14:textId="147B9A19" w:rsidR="00891BAB" w:rsidRPr="000D3CCF" w:rsidRDefault="002145C6" w:rsidP="00891BAB">
      <w:pPr>
        <w:rPr>
          <w:rFonts w:eastAsia="宋体"/>
          <w:lang w:eastAsia="zh-CN"/>
        </w:rPr>
      </w:pPr>
      <w:r>
        <w:rPr>
          <w:rFonts w:eastAsia="宋体"/>
          <w:b/>
          <w:lang w:eastAsia="zh-CN"/>
        </w:rPr>
        <w:t>Proposal 1</w:t>
      </w:r>
      <w:r w:rsidRPr="001A5304">
        <w:rPr>
          <w:rFonts w:eastAsia="宋体"/>
          <w:b/>
          <w:lang w:eastAsia="zh-CN"/>
        </w:rPr>
        <w:t xml:space="preserve">: </w:t>
      </w:r>
      <w:r>
        <w:rPr>
          <w:rFonts w:eastAsia="宋体"/>
          <w:b/>
          <w:lang w:eastAsia="zh-CN"/>
        </w:rPr>
        <w:t>Failure avoidance for target SCG addition/change should be considered to optimize CHO in NR-DC.</w:t>
      </w:r>
    </w:p>
    <w:p w14:paraId="3819E459" w14:textId="437AA98C" w:rsidR="002145C6" w:rsidRDefault="002145C6" w:rsidP="002145C6">
      <w:pPr>
        <w:rPr>
          <w:rFonts w:eastAsia="宋体"/>
          <w:lang w:eastAsia="zh-CN"/>
        </w:rPr>
      </w:pPr>
      <w:r>
        <w:rPr>
          <w:rFonts w:eastAsia="宋体"/>
          <w:b/>
          <w:lang w:eastAsia="zh-CN"/>
        </w:rPr>
        <w:t>Proposal 2</w:t>
      </w:r>
      <w:r w:rsidRPr="001A5304">
        <w:rPr>
          <w:rFonts w:eastAsia="宋体"/>
          <w:b/>
          <w:lang w:eastAsia="zh-CN"/>
        </w:rPr>
        <w:t xml:space="preserve">: </w:t>
      </w:r>
      <w:r w:rsidR="00E97B8C">
        <w:rPr>
          <w:rFonts w:eastAsia="宋体"/>
          <w:b/>
          <w:lang w:eastAsia="zh-CN"/>
        </w:rPr>
        <w:t xml:space="preserve">The following </w:t>
      </w:r>
      <w:r>
        <w:rPr>
          <w:rFonts w:eastAsia="宋体"/>
          <w:b/>
          <w:lang w:eastAsia="zh-CN"/>
        </w:rPr>
        <w:t>scenarios should be supported for the CHO in NR-DC.</w:t>
      </w:r>
    </w:p>
    <w:p w14:paraId="5459F629" w14:textId="77777777" w:rsidR="002145C6" w:rsidRPr="00B01F83" w:rsidRDefault="002145C6" w:rsidP="002145C6">
      <w:pPr>
        <w:pStyle w:val="afe"/>
        <w:numPr>
          <w:ilvl w:val="0"/>
          <w:numId w:val="33"/>
        </w:numPr>
        <w:ind w:firstLineChars="0"/>
        <w:rPr>
          <w:rFonts w:eastAsia="宋体"/>
          <w:b/>
          <w:bCs/>
          <w:lang w:eastAsia="zh-CN"/>
        </w:rPr>
      </w:pPr>
      <w:r w:rsidRPr="00B01F83">
        <w:rPr>
          <w:rFonts w:eastAsia="宋体"/>
          <w:b/>
          <w:bCs/>
          <w:lang w:eastAsia="zh-CN"/>
        </w:rPr>
        <w:t>CHO including target MCG and candidate SCGs for CPA.</w:t>
      </w:r>
    </w:p>
    <w:p w14:paraId="70FAF5DD" w14:textId="77777777" w:rsidR="002145C6" w:rsidRPr="00B01F83" w:rsidRDefault="002145C6" w:rsidP="002145C6">
      <w:pPr>
        <w:pStyle w:val="afe"/>
        <w:numPr>
          <w:ilvl w:val="0"/>
          <w:numId w:val="33"/>
        </w:numPr>
        <w:ind w:firstLineChars="0"/>
        <w:rPr>
          <w:rFonts w:eastAsia="宋体"/>
          <w:b/>
          <w:bCs/>
          <w:lang w:eastAsia="zh-CN"/>
        </w:rPr>
      </w:pPr>
      <w:r w:rsidRPr="00B01F83">
        <w:rPr>
          <w:rFonts w:eastAsia="宋体"/>
          <w:b/>
          <w:bCs/>
          <w:lang w:eastAsia="zh-CN"/>
        </w:rPr>
        <w:t>CHO including target MCG, target SCG and candidate SCGs for CPC.</w:t>
      </w:r>
    </w:p>
    <w:p w14:paraId="20F8A341" w14:textId="198218B2" w:rsidR="002145C6" w:rsidRPr="002145C6" w:rsidRDefault="002145C6" w:rsidP="00891BAB">
      <w:pPr>
        <w:rPr>
          <w:rFonts w:eastAsia="宋体"/>
          <w:b/>
          <w:lang w:eastAsia="zh-CN"/>
        </w:rPr>
      </w:pPr>
      <w:r>
        <w:rPr>
          <w:rFonts w:eastAsia="宋体"/>
          <w:b/>
          <w:lang w:eastAsia="zh-CN"/>
        </w:rPr>
        <w:t>Proposal 3</w:t>
      </w:r>
      <w:r w:rsidRPr="001A5304">
        <w:rPr>
          <w:rFonts w:eastAsia="宋体"/>
          <w:b/>
          <w:lang w:eastAsia="zh-CN"/>
        </w:rPr>
        <w:t xml:space="preserve">: </w:t>
      </w:r>
      <w:r>
        <w:rPr>
          <w:rFonts w:eastAsia="宋体"/>
          <w:b/>
          <w:lang w:eastAsia="zh-CN"/>
        </w:rPr>
        <w:t xml:space="preserve">To support CHO in NR-DC, </w:t>
      </w:r>
      <w:proofErr w:type="spellStart"/>
      <w:r>
        <w:rPr>
          <w:rFonts w:eastAsia="宋体"/>
          <w:b/>
          <w:lang w:eastAsia="zh-CN"/>
        </w:rPr>
        <w:t>Xn</w:t>
      </w:r>
      <w:proofErr w:type="spellEnd"/>
      <w:r>
        <w:rPr>
          <w:rFonts w:eastAsia="宋体"/>
          <w:b/>
          <w:lang w:eastAsia="zh-CN"/>
        </w:rPr>
        <w:t xml:space="preserve"> signalling for CHO including target MCG and target SCG should be used as baseline.</w:t>
      </w:r>
    </w:p>
    <w:p w14:paraId="5C38163A" w14:textId="5D751899" w:rsidR="002145C6" w:rsidRDefault="002145C6" w:rsidP="00891BAB">
      <w:pPr>
        <w:rPr>
          <w:rFonts w:eastAsia="宋体"/>
          <w:b/>
          <w:lang w:eastAsia="zh-CN"/>
        </w:rPr>
      </w:pPr>
      <w:r>
        <w:rPr>
          <w:rFonts w:eastAsia="宋体"/>
          <w:b/>
          <w:lang w:eastAsia="zh-CN"/>
        </w:rPr>
        <w:t>Proposal 4</w:t>
      </w:r>
      <w:r w:rsidRPr="001A5304">
        <w:rPr>
          <w:rFonts w:eastAsia="宋体"/>
          <w:b/>
          <w:lang w:eastAsia="zh-CN"/>
        </w:rPr>
        <w:t xml:space="preserve">: </w:t>
      </w:r>
      <w:r>
        <w:rPr>
          <w:rFonts w:eastAsia="宋体"/>
          <w:b/>
          <w:lang w:eastAsia="zh-CN"/>
        </w:rPr>
        <w:t>To support CHO in NR-DC, F1 signalling for CHO including target MCG and target SCG should be used as baseline.</w:t>
      </w:r>
    </w:p>
    <w:p w14:paraId="39548F86" w14:textId="69B2C9AB" w:rsidR="002145C6" w:rsidRDefault="002145C6" w:rsidP="00891BAB">
      <w:pPr>
        <w:rPr>
          <w:rFonts w:eastAsia="宋体"/>
          <w:b/>
          <w:lang w:eastAsia="zh-CN"/>
        </w:rPr>
      </w:pPr>
      <w:r>
        <w:rPr>
          <w:rFonts w:eastAsia="宋体"/>
          <w:b/>
          <w:lang w:eastAsia="zh-CN"/>
        </w:rPr>
        <w:t>Proposal 5</w:t>
      </w:r>
      <w:r w:rsidRPr="001A5304">
        <w:rPr>
          <w:rFonts w:eastAsia="宋体"/>
          <w:b/>
          <w:lang w:eastAsia="zh-CN"/>
        </w:rPr>
        <w:t xml:space="preserve">: </w:t>
      </w:r>
      <w:r>
        <w:rPr>
          <w:rFonts w:eastAsia="宋体"/>
          <w:b/>
          <w:lang w:eastAsia="zh-CN"/>
        </w:rPr>
        <w:t>CPA/CPC execution condition should be configured by the target MN for the CHO in NR-DC.</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4B8BA3BC" w:rsidR="00E7471C" w:rsidRDefault="00F920BB" w:rsidP="00F920BB">
      <w:pPr>
        <w:numPr>
          <w:ilvl w:val="0"/>
          <w:numId w:val="9"/>
        </w:numPr>
        <w:rPr>
          <w:lang w:eastAsia="zh-CN"/>
        </w:rPr>
      </w:pPr>
      <w:r w:rsidRPr="00F920BB">
        <w:rPr>
          <w:lang w:eastAsia="zh-CN"/>
        </w:rPr>
        <w:t>R</w:t>
      </w:r>
      <w:r w:rsidR="00872AA9">
        <w:rPr>
          <w:lang w:eastAsia="zh-CN"/>
        </w:rPr>
        <w:t>P</w:t>
      </w:r>
      <w:r w:rsidRPr="00F920BB">
        <w:rPr>
          <w:lang w:eastAsia="zh-CN"/>
        </w:rPr>
        <w:t>-21</w:t>
      </w:r>
      <w:r w:rsidR="00872AA9">
        <w:rPr>
          <w:lang w:eastAsia="zh-CN"/>
        </w:rPr>
        <w:t>3565</w:t>
      </w:r>
      <w:r>
        <w:rPr>
          <w:lang w:eastAsia="zh-CN"/>
        </w:rPr>
        <w:t xml:space="preserve">, </w:t>
      </w:r>
      <w:r w:rsidR="00872AA9">
        <w:rPr>
          <w:lang w:eastAsia="zh-CN"/>
        </w:rPr>
        <w:t>New WID on further NR mobility enhancements, MediaTek</w:t>
      </w:r>
    </w:p>
    <w:p w14:paraId="3FD75B10" w14:textId="2588F048" w:rsidR="00962CA4" w:rsidRDefault="00F920BB" w:rsidP="00F920BB">
      <w:pPr>
        <w:numPr>
          <w:ilvl w:val="0"/>
          <w:numId w:val="9"/>
        </w:numPr>
        <w:rPr>
          <w:lang w:eastAsia="zh-CN"/>
        </w:rPr>
      </w:pPr>
      <w:r w:rsidRPr="00F920BB">
        <w:rPr>
          <w:lang w:eastAsia="zh-CN"/>
        </w:rPr>
        <w:t>R</w:t>
      </w:r>
      <w:r w:rsidR="00120FAC">
        <w:rPr>
          <w:lang w:eastAsia="zh-CN"/>
        </w:rPr>
        <w:t>P</w:t>
      </w:r>
      <w:r w:rsidRPr="00F920BB">
        <w:rPr>
          <w:lang w:eastAsia="zh-CN"/>
        </w:rPr>
        <w:t>-</w:t>
      </w:r>
      <w:r w:rsidR="00120FAC">
        <w:rPr>
          <w:lang w:eastAsia="zh-CN"/>
        </w:rPr>
        <w:t>221799</w:t>
      </w:r>
      <w:r w:rsidR="00980612">
        <w:rPr>
          <w:lang w:eastAsia="zh-CN"/>
        </w:rPr>
        <w:t xml:space="preserve">, </w:t>
      </w:r>
      <w:r w:rsidR="00120FAC">
        <w:rPr>
          <w:lang w:eastAsia="zh-CN"/>
        </w:rPr>
        <w:t>Revised WID on further NR mobility enhancements, MediaTek</w:t>
      </w:r>
      <w:r w:rsidR="00980612" w:rsidRPr="00090C5D">
        <w:rPr>
          <w:lang w:eastAsia="zh-CN"/>
        </w:rPr>
        <w:t xml:space="preserve"> </w:t>
      </w:r>
    </w:p>
    <w:sectPr w:rsidR="00962CA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CAA6E" w14:textId="77777777" w:rsidR="00355BCE" w:rsidRDefault="00355BCE">
      <w:r>
        <w:separator/>
      </w:r>
    </w:p>
  </w:endnote>
  <w:endnote w:type="continuationSeparator" w:id="0">
    <w:p w14:paraId="3520F190" w14:textId="77777777" w:rsidR="00355BCE" w:rsidRDefault="0035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9D67" w14:textId="77777777" w:rsidR="00355BCE" w:rsidRDefault="00355BCE">
      <w:r>
        <w:separator/>
      </w:r>
    </w:p>
  </w:footnote>
  <w:footnote w:type="continuationSeparator" w:id="0">
    <w:p w14:paraId="71E4FBF8" w14:textId="77777777" w:rsidR="00355BCE" w:rsidRDefault="00355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2651F4"/>
    <w:multiLevelType w:val="hybridMultilevel"/>
    <w:tmpl w:val="79088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85F0E"/>
    <w:multiLevelType w:val="hybridMultilevel"/>
    <w:tmpl w:val="AA7832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2"/>
  </w:num>
  <w:num w:numId="4">
    <w:abstractNumId w:val="26"/>
  </w:num>
  <w:num w:numId="5">
    <w:abstractNumId w:val="3"/>
  </w:num>
  <w:num w:numId="6">
    <w:abstractNumId w:val="8"/>
  </w:num>
  <w:num w:numId="7">
    <w:abstractNumId w:val="20"/>
  </w:num>
  <w:num w:numId="8">
    <w:abstractNumId w:val="22"/>
  </w:num>
  <w:num w:numId="9">
    <w:abstractNumId w:val="13"/>
  </w:num>
  <w:num w:numId="10">
    <w:abstractNumId w:val="16"/>
  </w:num>
  <w:num w:numId="11">
    <w:abstractNumId w:val="30"/>
  </w:num>
  <w:num w:numId="12">
    <w:abstractNumId w:val="25"/>
  </w:num>
  <w:num w:numId="13">
    <w:abstractNumId w:val="18"/>
    <w:lvlOverride w:ilvl="0">
      <w:startOverride w:val="1"/>
    </w:lvlOverride>
  </w:num>
  <w:num w:numId="14">
    <w:abstractNumId w:val="19"/>
  </w:num>
  <w:num w:numId="15">
    <w:abstractNumId w:val="28"/>
  </w:num>
  <w:num w:numId="16">
    <w:abstractNumId w:val="23"/>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29"/>
  </w:num>
  <w:num w:numId="25">
    <w:abstractNumId w:val="7"/>
  </w:num>
  <w:num w:numId="26">
    <w:abstractNumId w:val="12"/>
  </w:num>
  <w:num w:numId="2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7"/>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 w:numId="35">
    <w:abstractNumId w:val="31"/>
  </w:num>
  <w:num w:numId="36">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06C23"/>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0E8B"/>
    <w:rsid w:val="00031567"/>
    <w:rsid w:val="00032AB8"/>
    <w:rsid w:val="00033FDA"/>
    <w:rsid w:val="0003419C"/>
    <w:rsid w:val="000346B7"/>
    <w:rsid w:val="00034EB8"/>
    <w:rsid w:val="000357E9"/>
    <w:rsid w:val="000374A1"/>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4173"/>
    <w:rsid w:val="000655EF"/>
    <w:rsid w:val="000667C1"/>
    <w:rsid w:val="00070CDD"/>
    <w:rsid w:val="00072EDF"/>
    <w:rsid w:val="000737BB"/>
    <w:rsid w:val="00073C97"/>
    <w:rsid w:val="00075247"/>
    <w:rsid w:val="00075690"/>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2F8"/>
    <w:rsid w:val="000B48A6"/>
    <w:rsid w:val="000B4B4A"/>
    <w:rsid w:val="000B4B84"/>
    <w:rsid w:val="000B4E2F"/>
    <w:rsid w:val="000B54C1"/>
    <w:rsid w:val="000B5774"/>
    <w:rsid w:val="000B5F7E"/>
    <w:rsid w:val="000B78CC"/>
    <w:rsid w:val="000C00E1"/>
    <w:rsid w:val="000C0742"/>
    <w:rsid w:val="000C150F"/>
    <w:rsid w:val="000C1D36"/>
    <w:rsid w:val="000C39DB"/>
    <w:rsid w:val="000C42DD"/>
    <w:rsid w:val="000C4E93"/>
    <w:rsid w:val="000C6CBB"/>
    <w:rsid w:val="000C6D76"/>
    <w:rsid w:val="000C6E31"/>
    <w:rsid w:val="000C7168"/>
    <w:rsid w:val="000C7366"/>
    <w:rsid w:val="000C7852"/>
    <w:rsid w:val="000D0344"/>
    <w:rsid w:val="000D07AF"/>
    <w:rsid w:val="000D3B23"/>
    <w:rsid w:val="000D3CCF"/>
    <w:rsid w:val="000D468C"/>
    <w:rsid w:val="000D5EC9"/>
    <w:rsid w:val="000D6ED3"/>
    <w:rsid w:val="000E02F8"/>
    <w:rsid w:val="000E0F00"/>
    <w:rsid w:val="000E13C9"/>
    <w:rsid w:val="000E1F17"/>
    <w:rsid w:val="000E259A"/>
    <w:rsid w:val="000E301C"/>
    <w:rsid w:val="000E3370"/>
    <w:rsid w:val="000E33C3"/>
    <w:rsid w:val="000E4329"/>
    <w:rsid w:val="000E558F"/>
    <w:rsid w:val="000E6AD9"/>
    <w:rsid w:val="000E7C81"/>
    <w:rsid w:val="000F025B"/>
    <w:rsid w:val="000F0575"/>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85C"/>
    <w:rsid w:val="001119E6"/>
    <w:rsid w:val="00112C1D"/>
    <w:rsid w:val="001133CF"/>
    <w:rsid w:val="00113571"/>
    <w:rsid w:val="00114EB0"/>
    <w:rsid w:val="00115CB3"/>
    <w:rsid w:val="001177F1"/>
    <w:rsid w:val="00117B42"/>
    <w:rsid w:val="00117E8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3B70"/>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1627"/>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0798"/>
    <w:rsid w:val="00181069"/>
    <w:rsid w:val="00181B2E"/>
    <w:rsid w:val="00182012"/>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FA8"/>
    <w:rsid w:val="001D504E"/>
    <w:rsid w:val="001D5114"/>
    <w:rsid w:val="001D573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B81"/>
    <w:rsid w:val="001F2538"/>
    <w:rsid w:val="001F2CFC"/>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5C6"/>
    <w:rsid w:val="00214991"/>
    <w:rsid w:val="00220898"/>
    <w:rsid w:val="002214AD"/>
    <w:rsid w:val="0022182B"/>
    <w:rsid w:val="00223223"/>
    <w:rsid w:val="0022362C"/>
    <w:rsid w:val="00223971"/>
    <w:rsid w:val="0022418F"/>
    <w:rsid w:val="0022499C"/>
    <w:rsid w:val="00224B6C"/>
    <w:rsid w:val="002258E9"/>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04A"/>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12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0D8"/>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F2F"/>
    <w:rsid w:val="00316D12"/>
    <w:rsid w:val="00316D4A"/>
    <w:rsid w:val="003173CE"/>
    <w:rsid w:val="003205DA"/>
    <w:rsid w:val="0032143F"/>
    <w:rsid w:val="00322BF9"/>
    <w:rsid w:val="00324C13"/>
    <w:rsid w:val="00324E7A"/>
    <w:rsid w:val="00325769"/>
    <w:rsid w:val="0032576A"/>
    <w:rsid w:val="00325B85"/>
    <w:rsid w:val="00326166"/>
    <w:rsid w:val="00326C1A"/>
    <w:rsid w:val="00327C4D"/>
    <w:rsid w:val="00327C80"/>
    <w:rsid w:val="0033143D"/>
    <w:rsid w:val="00331D74"/>
    <w:rsid w:val="00332B0C"/>
    <w:rsid w:val="00332F29"/>
    <w:rsid w:val="00333B90"/>
    <w:rsid w:val="00334763"/>
    <w:rsid w:val="00334BBB"/>
    <w:rsid w:val="00336954"/>
    <w:rsid w:val="003371C6"/>
    <w:rsid w:val="00340400"/>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CE"/>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5BAB"/>
    <w:rsid w:val="00376BF7"/>
    <w:rsid w:val="00377982"/>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A138A"/>
    <w:rsid w:val="003A270F"/>
    <w:rsid w:val="003A2E9C"/>
    <w:rsid w:val="003A38B6"/>
    <w:rsid w:val="003A41E4"/>
    <w:rsid w:val="003A4EA7"/>
    <w:rsid w:val="003A4FBE"/>
    <w:rsid w:val="003A4FE1"/>
    <w:rsid w:val="003A557A"/>
    <w:rsid w:val="003A6D6C"/>
    <w:rsid w:val="003B0EDC"/>
    <w:rsid w:val="003B2479"/>
    <w:rsid w:val="003B3117"/>
    <w:rsid w:val="003B3F3C"/>
    <w:rsid w:val="003B5800"/>
    <w:rsid w:val="003B7C7F"/>
    <w:rsid w:val="003C1312"/>
    <w:rsid w:val="003C16EF"/>
    <w:rsid w:val="003C2B16"/>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A3"/>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397"/>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195B"/>
    <w:rsid w:val="0045224F"/>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B72"/>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DD0"/>
    <w:rsid w:val="00517496"/>
    <w:rsid w:val="005203B7"/>
    <w:rsid w:val="0052072E"/>
    <w:rsid w:val="00520D3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6E8"/>
    <w:rsid w:val="00551BB5"/>
    <w:rsid w:val="00551C3E"/>
    <w:rsid w:val="00551DDD"/>
    <w:rsid w:val="00552D60"/>
    <w:rsid w:val="005533F4"/>
    <w:rsid w:val="00553B83"/>
    <w:rsid w:val="005546C7"/>
    <w:rsid w:val="00555282"/>
    <w:rsid w:val="005554DB"/>
    <w:rsid w:val="005564E5"/>
    <w:rsid w:val="0055652D"/>
    <w:rsid w:val="00557C6C"/>
    <w:rsid w:val="005602B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2651"/>
    <w:rsid w:val="005936AE"/>
    <w:rsid w:val="005936AF"/>
    <w:rsid w:val="0059421B"/>
    <w:rsid w:val="005944E5"/>
    <w:rsid w:val="00594588"/>
    <w:rsid w:val="0059611C"/>
    <w:rsid w:val="00597167"/>
    <w:rsid w:val="00597698"/>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483E"/>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5F5FE1"/>
    <w:rsid w:val="006001DE"/>
    <w:rsid w:val="00600BB7"/>
    <w:rsid w:val="00600D9E"/>
    <w:rsid w:val="00600E5D"/>
    <w:rsid w:val="006012B9"/>
    <w:rsid w:val="00602547"/>
    <w:rsid w:val="00602FF4"/>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88D"/>
    <w:rsid w:val="00622936"/>
    <w:rsid w:val="00623FA7"/>
    <w:rsid w:val="006250B1"/>
    <w:rsid w:val="00625940"/>
    <w:rsid w:val="00625CEF"/>
    <w:rsid w:val="00625D09"/>
    <w:rsid w:val="00626519"/>
    <w:rsid w:val="0062772E"/>
    <w:rsid w:val="00627890"/>
    <w:rsid w:val="00627D95"/>
    <w:rsid w:val="00630165"/>
    <w:rsid w:val="006302A6"/>
    <w:rsid w:val="00630876"/>
    <w:rsid w:val="00630D2E"/>
    <w:rsid w:val="00631181"/>
    <w:rsid w:val="0063381B"/>
    <w:rsid w:val="00634784"/>
    <w:rsid w:val="00634C72"/>
    <w:rsid w:val="00635D14"/>
    <w:rsid w:val="006364D1"/>
    <w:rsid w:val="006407A8"/>
    <w:rsid w:val="00640E8B"/>
    <w:rsid w:val="00641123"/>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0AA"/>
    <w:rsid w:val="00653D47"/>
    <w:rsid w:val="0065407D"/>
    <w:rsid w:val="00654A1C"/>
    <w:rsid w:val="00655AD7"/>
    <w:rsid w:val="00656298"/>
    <w:rsid w:val="0066041B"/>
    <w:rsid w:val="00661F1C"/>
    <w:rsid w:val="006622D4"/>
    <w:rsid w:val="006631D6"/>
    <w:rsid w:val="006631D9"/>
    <w:rsid w:val="006636B3"/>
    <w:rsid w:val="00663B3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09E"/>
    <w:rsid w:val="006874E6"/>
    <w:rsid w:val="0068764D"/>
    <w:rsid w:val="006906C2"/>
    <w:rsid w:val="00690D77"/>
    <w:rsid w:val="00693A52"/>
    <w:rsid w:val="00693F58"/>
    <w:rsid w:val="00694F02"/>
    <w:rsid w:val="00696285"/>
    <w:rsid w:val="006A2FC8"/>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B75C3"/>
    <w:rsid w:val="006C0703"/>
    <w:rsid w:val="006C09F2"/>
    <w:rsid w:val="006C0EE6"/>
    <w:rsid w:val="006C366D"/>
    <w:rsid w:val="006C3E60"/>
    <w:rsid w:val="006C4165"/>
    <w:rsid w:val="006C50D9"/>
    <w:rsid w:val="006C52EE"/>
    <w:rsid w:val="006C73D1"/>
    <w:rsid w:val="006C76A0"/>
    <w:rsid w:val="006D0082"/>
    <w:rsid w:val="006D059C"/>
    <w:rsid w:val="006D0D08"/>
    <w:rsid w:val="006D1E5C"/>
    <w:rsid w:val="006D3886"/>
    <w:rsid w:val="006D39AD"/>
    <w:rsid w:val="006D610E"/>
    <w:rsid w:val="006D6B98"/>
    <w:rsid w:val="006D6FC7"/>
    <w:rsid w:val="006D731D"/>
    <w:rsid w:val="006E0194"/>
    <w:rsid w:val="006E0B67"/>
    <w:rsid w:val="006E0CB0"/>
    <w:rsid w:val="006E0DB9"/>
    <w:rsid w:val="006E208E"/>
    <w:rsid w:val="006E21E4"/>
    <w:rsid w:val="006E3A1C"/>
    <w:rsid w:val="006E46B3"/>
    <w:rsid w:val="006E59BA"/>
    <w:rsid w:val="006E7462"/>
    <w:rsid w:val="006F1D4D"/>
    <w:rsid w:val="006F1D76"/>
    <w:rsid w:val="006F2B2C"/>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25B7"/>
    <w:rsid w:val="00712AA2"/>
    <w:rsid w:val="00712F5A"/>
    <w:rsid w:val="007132D7"/>
    <w:rsid w:val="007136BA"/>
    <w:rsid w:val="007137E8"/>
    <w:rsid w:val="00714D79"/>
    <w:rsid w:val="007156C4"/>
    <w:rsid w:val="007174EE"/>
    <w:rsid w:val="00720AED"/>
    <w:rsid w:val="00720CE4"/>
    <w:rsid w:val="00721BB2"/>
    <w:rsid w:val="007237E8"/>
    <w:rsid w:val="00725F59"/>
    <w:rsid w:val="00726AB8"/>
    <w:rsid w:val="00726B94"/>
    <w:rsid w:val="0072745E"/>
    <w:rsid w:val="007277FE"/>
    <w:rsid w:val="007304DD"/>
    <w:rsid w:val="007310C2"/>
    <w:rsid w:val="007310F2"/>
    <w:rsid w:val="007316DF"/>
    <w:rsid w:val="007320A6"/>
    <w:rsid w:val="00732235"/>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5BE0"/>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F59"/>
    <w:rsid w:val="007840DA"/>
    <w:rsid w:val="0078419C"/>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601"/>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1C6D"/>
    <w:rsid w:val="007E2488"/>
    <w:rsid w:val="007E3B8F"/>
    <w:rsid w:val="007E54F1"/>
    <w:rsid w:val="007E6913"/>
    <w:rsid w:val="007E7A9B"/>
    <w:rsid w:val="007E7FB5"/>
    <w:rsid w:val="007E7FB6"/>
    <w:rsid w:val="007F00E8"/>
    <w:rsid w:val="007F09F7"/>
    <w:rsid w:val="007F0E6B"/>
    <w:rsid w:val="007F11E8"/>
    <w:rsid w:val="007F12FC"/>
    <w:rsid w:val="007F1803"/>
    <w:rsid w:val="007F2759"/>
    <w:rsid w:val="007F484E"/>
    <w:rsid w:val="007F4E74"/>
    <w:rsid w:val="007F749D"/>
    <w:rsid w:val="007F750E"/>
    <w:rsid w:val="007F7A8D"/>
    <w:rsid w:val="007F7ACC"/>
    <w:rsid w:val="00800AA0"/>
    <w:rsid w:val="00801B02"/>
    <w:rsid w:val="00804A7D"/>
    <w:rsid w:val="00807E69"/>
    <w:rsid w:val="00811EB2"/>
    <w:rsid w:val="00812750"/>
    <w:rsid w:val="00813C6E"/>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F5B"/>
    <w:rsid w:val="00843B67"/>
    <w:rsid w:val="0084422A"/>
    <w:rsid w:val="00847222"/>
    <w:rsid w:val="00847343"/>
    <w:rsid w:val="00847778"/>
    <w:rsid w:val="008506B4"/>
    <w:rsid w:val="00850C8D"/>
    <w:rsid w:val="00850DCF"/>
    <w:rsid w:val="008525BE"/>
    <w:rsid w:val="00852E17"/>
    <w:rsid w:val="008537FC"/>
    <w:rsid w:val="00855352"/>
    <w:rsid w:val="00855B68"/>
    <w:rsid w:val="0085631C"/>
    <w:rsid w:val="0085641C"/>
    <w:rsid w:val="008615C6"/>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46B7"/>
    <w:rsid w:val="00894F57"/>
    <w:rsid w:val="0089530A"/>
    <w:rsid w:val="00897872"/>
    <w:rsid w:val="00897C86"/>
    <w:rsid w:val="008A0411"/>
    <w:rsid w:val="008A07B6"/>
    <w:rsid w:val="008A3C7E"/>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565"/>
    <w:rsid w:val="008C2871"/>
    <w:rsid w:val="008C320D"/>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3C6"/>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5C96"/>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589D"/>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265A"/>
    <w:rsid w:val="009A40FE"/>
    <w:rsid w:val="009A5309"/>
    <w:rsid w:val="009A5C52"/>
    <w:rsid w:val="009A5CEE"/>
    <w:rsid w:val="009A676C"/>
    <w:rsid w:val="009A722D"/>
    <w:rsid w:val="009A7356"/>
    <w:rsid w:val="009B261B"/>
    <w:rsid w:val="009B2BFE"/>
    <w:rsid w:val="009B3419"/>
    <w:rsid w:val="009B350B"/>
    <w:rsid w:val="009B3D69"/>
    <w:rsid w:val="009B5128"/>
    <w:rsid w:val="009B6FA1"/>
    <w:rsid w:val="009C3424"/>
    <w:rsid w:val="009C387A"/>
    <w:rsid w:val="009C3C1E"/>
    <w:rsid w:val="009C3F6D"/>
    <w:rsid w:val="009C4139"/>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A91"/>
    <w:rsid w:val="00A11DA6"/>
    <w:rsid w:val="00A141D5"/>
    <w:rsid w:val="00A142CE"/>
    <w:rsid w:val="00A14F75"/>
    <w:rsid w:val="00A16333"/>
    <w:rsid w:val="00A16A4C"/>
    <w:rsid w:val="00A21B43"/>
    <w:rsid w:val="00A21B51"/>
    <w:rsid w:val="00A21FB9"/>
    <w:rsid w:val="00A22E52"/>
    <w:rsid w:val="00A243EE"/>
    <w:rsid w:val="00A256FF"/>
    <w:rsid w:val="00A2699F"/>
    <w:rsid w:val="00A26A1E"/>
    <w:rsid w:val="00A26DE2"/>
    <w:rsid w:val="00A2785C"/>
    <w:rsid w:val="00A30656"/>
    <w:rsid w:val="00A3088A"/>
    <w:rsid w:val="00A3180A"/>
    <w:rsid w:val="00A31AC6"/>
    <w:rsid w:val="00A3274F"/>
    <w:rsid w:val="00A33D68"/>
    <w:rsid w:val="00A34915"/>
    <w:rsid w:val="00A36038"/>
    <w:rsid w:val="00A36EF0"/>
    <w:rsid w:val="00A376FA"/>
    <w:rsid w:val="00A37B48"/>
    <w:rsid w:val="00A40282"/>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128"/>
    <w:rsid w:val="00A55835"/>
    <w:rsid w:val="00A570EF"/>
    <w:rsid w:val="00A57800"/>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09D"/>
    <w:rsid w:val="00A8255B"/>
    <w:rsid w:val="00A82733"/>
    <w:rsid w:val="00A83254"/>
    <w:rsid w:val="00A83501"/>
    <w:rsid w:val="00A83E7D"/>
    <w:rsid w:val="00A83ED4"/>
    <w:rsid w:val="00A863EE"/>
    <w:rsid w:val="00A86B0C"/>
    <w:rsid w:val="00A879FD"/>
    <w:rsid w:val="00A906BF"/>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21DA"/>
    <w:rsid w:val="00AB3629"/>
    <w:rsid w:val="00AB37CE"/>
    <w:rsid w:val="00AB4399"/>
    <w:rsid w:val="00AB4891"/>
    <w:rsid w:val="00AB4CFF"/>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0EC5"/>
    <w:rsid w:val="00AF1890"/>
    <w:rsid w:val="00AF3473"/>
    <w:rsid w:val="00AF45CD"/>
    <w:rsid w:val="00AF4A07"/>
    <w:rsid w:val="00AF4E18"/>
    <w:rsid w:val="00AF7515"/>
    <w:rsid w:val="00AF7AD9"/>
    <w:rsid w:val="00B00341"/>
    <w:rsid w:val="00B010E3"/>
    <w:rsid w:val="00B01434"/>
    <w:rsid w:val="00B01F8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6FEB"/>
    <w:rsid w:val="00B174FB"/>
    <w:rsid w:val="00B178FE"/>
    <w:rsid w:val="00B17FD1"/>
    <w:rsid w:val="00B20EF0"/>
    <w:rsid w:val="00B210C5"/>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97D1E"/>
    <w:rsid w:val="00BA030D"/>
    <w:rsid w:val="00BA0407"/>
    <w:rsid w:val="00BA06E3"/>
    <w:rsid w:val="00BA0C8C"/>
    <w:rsid w:val="00BA109A"/>
    <w:rsid w:val="00BA1642"/>
    <w:rsid w:val="00BA1C39"/>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1B5"/>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C4"/>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A66"/>
    <w:rsid w:val="00C24E1D"/>
    <w:rsid w:val="00C2694A"/>
    <w:rsid w:val="00C322F9"/>
    <w:rsid w:val="00C33600"/>
    <w:rsid w:val="00C344DF"/>
    <w:rsid w:val="00C367B1"/>
    <w:rsid w:val="00C37A62"/>
    <w:rsid w:val="00C4015E"/>
    <w:rsid w:val="00C402BB"/>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4BA2"/>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B3C"/>
    <w:rsid w:val="00C95DEA"/>
    <w:rsid w:val="00C95E7A"/>
    <w:rsid w:val="00CA115B"/>
    <w:rsid w:val="00CA18DA"/>
    <w:rsid w:val="00CA1F55"/>
    <w:rsid w:val="00CA2621"/>
    <w:rsid w:val="00CA2ED0"/>
    <w:rsid w:val="00CA2FAB"/>
    <w:rsid w:val="00CA3678"/>
    <w:rsid w:val="00CA48F6"/>
    <w:rsid w:val="00CA50A6"/>
    <w:rsid w:val="00CA5422"/>
    <w:rsid w:val="00CA61CA"/>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4A42"/>
    <w:rsid w:val="00D051A3"/>
    <w:rsid w:val="00D0592B"/>
    <w:rsid w:val="00D12684"/>
    <w:rsid w:val="00D129E1"/>
    <w:rsid w:val="00D13192"/>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280A"/>
    <w:rsid w:val="00D6360C"/>
    <w:rsid w:val="00D63656"/>
    <w:rsid w:val="00D64714"/>
    <w:rsid w:val="00D66BC4"/>
    <w:rsid w:val="00D66DB4"/>
    <w:rsid w:val="00D67393"/>
    <w:rsid w:val="00D67E08"/>
    <w:rsid w:val="00D7032C"/>
    <w:rsid w:val="00D7067B"/>
    <w:rsid w:val="00D712EC"/>
    <w:rsid w:val="00D7175C"/>
    <w:rsid w:val="00D72B2E"/>
    <w:rsid w:val="00D733BE"/>
    <w:rsid w:val="00D7359B"/>
    <w:rsid w:val="00D74B6B"/>
    <w:rsid w:val="00D760A8"/>
    <w:rsid w:val="00D76CB8"/>
    <w:rsid w:val="00D77A26"/>
    <w:rsid w:val="00D80C65"/>
    <w:rsid w:val="00D8200F"/>
    <w:rsid w:val="00D8326C"/>
    <w:rsid w:val="00D8495E"/>
    <w:rsid w:val="00D9074A"/>
    <w:rsid w:val="00D9097D"/>
    <w:rsid w:val="00D90DC9"/>
    <w:rsid w:val="00D92DE4"/>
    <w:rsid w:val="00D9417C"/>
    <w:rsid w:val="00D949C7"/>
    <w:rsid w:val="00D94E69"/>
    <w:rsid w:val="00D952E4"/>
    <w:rsid w:val="00D955D5"/>
    <w:rsid w:val="00D95B22"/>
    <w:rsid w:val="00D962BA"/>
    <w:rsid w:val="00DA0911"/>
    <w:rsid w:val="00DA32E6"/>
    <w:rsid w:val="00DA32F7"/>
    <w:rsid w:val="00DA53E0"/>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07B"/>
    <w:rsid w:val="00DD1A6E"/>
    <w:rsid w:val="00DD2283"/>
    <w:rsid w:val="00DD2AE5"/>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2EBA"/>
    <w:rsid w:val="00E03A59"/>
    <w:rsid w:val="00E03A6C"/>
    <w:rsid w:val="00E03C1B"/>
    <w:rsid w:val="00E03C6D"/>
    <w:rsid w:val="00E03EB1"/>
    <w:rsid w:val="00E06433"/>
    <w:rsid w:val="00E07218"/>
    <w:rsid w:val="00E07313"/>
    <w:rsid w:val="00E10018"/>
    <w:rsid w:val="00E10F6B"/>
    <w:rsid w:val="00E119DC"/>
    <w:rsid w:val="00E12F74"/>
    <w:rsid w:val="00E1328B"/>
    <w:rsid w:val="00E139CA"/>
    <w:rsid w:val="00E156BF"/>
    <w:rsid w:val="00E15C46"/>
    <w:rsid w:val="00E16BCC"/>
    <w:rsid w:val="00E16F1D"/>
    <w:rsid w:val="00E1701B"/>
    <w:rsid w:val="00E214EB"/>
    <w:rsid w:val="00E21CFD"/>
    <w:rsid w:val="00E232BC"/>
    <w:rsid w:val="00E232DE"/>
    <w:rsid w:val="00E234D2"/>
    <w:rsid w:val="00E276AD"/>
    <w:rsid w:val="00E30D80"/>
    <w:rsid w:val="00E3131F"/>
    <w:rsid w:val="00E319C5"/>
    <w:rsid w:val="00E31B55"/>
    <w:rsid w:val="00E324CC"/>
    <w:rsid w:val="00E32EE7"/>
    <w:rsid w:val="00E335DE"/>
    <w:rsid w:val="00E33DB6"/>
    <w:rsid w:val="00E34407"/>
    <w:rsid w:val="00E3467F"/>
    <w:rsid w:val="00E35959"/>
    <w:rsid w:val="00E37458"/>
    <w:rsid w:val="00E413B8"/>
    <w:rsid w:val="00E41CD1"/>
    <w:rsid w:val="00E42AC9"/>
    <w:rsid w:val="00E43B8B"/>
    <w:rsid w:val="00E4440F"/>
    <w:rsid w:val="00E45186"/>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28D"/>
    <w:rsid w:val="00E61597"/>
    <w:rsid w:val="00E61802"/>
    <w:rsid w:val="00E62B3B"/>
    <w:rsid w:val="00E643A6"/>
    <w:rsid w:val="00E655FF"/>
    <w:rsid w:val="00E65E14"/>
    <w:rsid w:val="00E666AA"/>
    <w:rsid w:val="00E66FEF"/>
    <w:rsid w:val="00E673C4"/>
    <w:rsid w:val="00E67D48"/>
    <w:rsid w:val="00E71C79"/>
    <w:rsid w:val="00E725F7"/>
    <w:rsid w:val="00E7320C"/>
    <w:rsid w:val="00E7382B"/>
    <w:rsid w:val="00E73AA2"/>
    <w:rsid w:val="00E7471C"/>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97B8C"/>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59AD"/>
    <w:rsid w:val="00EB63D8"/>
    <w:rsid w:val="00EB7FA8"/>
    <w:rsid w:val="00EC0520"/>
    <w:rsid w:val="00EC0632"/>
    <w:rsid w:val="00EC2DF1"/>
    <w:rsid w:val="00EC3290"/>
    <w:rsid w:val="00EC355E"/>
    <w:rsid w:val="00EC586C"/>
    <w:rsid w:val="00EC7C1B"/>
    <w:rsid w:val="00ED00C2"/>
    <w:rsid w:val="00ED17A9"/>
    <w:rsid w:val="00ED2080"/>
    <w:rsid w:val="00ED2AD4"/>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AF5"/>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FBF"/>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562A"/>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874FF"/>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A7E60"/>
    <w:rsid w:val="00FB075F"/>
    <w:rsid w:val="00FB0EC4"/>
    <w:rsid w:val="00FB11EF"/>
    <w:rsid w:val="00FB1BB8"/>
    <w:rsid w:val="00FB2853"/>
    <w:rsid w:val="00FB38EB"/>
    <w:rsid w:val="00FB3D40"/>
    <w:rsid w:val="00FB3FF4"/>
    <w:rsid w:val="00FB4E84"/>
    <w:rsid w:val="00FB575F"/>
    <w:rsid w:val="00FB5E19"/>
    <w:rsid w:val="00FB7F73"/>
    <w:rsid w:val="00FC09B6"/>
    <w:rsid w:val="00FC1718"/>
    <w:rsid w:val="00FC283B"/>
    <w:rsid w:val="00FC29D1"/>
    <w:rsid w:val="00FC3AB6"/>
    <w:rsid w:val="00FC46CF"/>
    <w:rsid w:val="00FC4959"/>
    <w:rsid w:val="00FC4E0F"/>
    <w:rsid w:val="00FC4EA1"/>
    <w:rsid w:val="00FC4F55"/>
    <w:rsid w:val="00FC57A3"/>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30</cp:revision>
  <cp:lastPrinted>2009-04-22T07:01:00Z</cp:lastPrinted>
  <dcterms:created xsi:type="dcterms:W3CDTF">2022-08-07T08:05:00Z</dcterms:created>
  <dcterms:modified xsi:type="dcterms:W3CDTF">2022-08-09T03:15:00Z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